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FEE18" w14:textId="72C2CEE6" w:rsidR="00D8302A" w:rsidRPr="00CD5091" w:rsidRDefault="00C9466D" w:rsidP="00D8302A">
      <w:pPr>
        <w:spacing w:before="240"/>
        <w:rPr>
          <w:rFonts w:eastAsia="Times New Roman" w:cs="Times New Roman"/>
          <w:b/>
          <w:color w:val="004625" w:themeColor="text2"/>
          <w:sz w:val="36"/>
          <w:szCs w:val="36"/>
        </w:rPr>
      </w:pPr>
      <w:bookmarkStart w:id="0" w:name="ExecutiveSummary"/>
      <w:r>
        <w:rPr>
          <w:rFonts w:eastAsia="Times New Roman" w:cs="Times New Roman"/>
          <w:b/>
          <w:color w:val="004625" w:themeColor="text2"/>
          <w:sz w:val="36"/>
          <w:szCs w:val="36"/>
        </w:rPr>
        <w:t xml:space="preserve">R1983 NTG </w:t>
      </w:r>
      <w:r w:rsidR="00D8302A" w:rsidRPr="00CD5091">
        <w:rPr>
          <w:rFonts w:eastAsia="Times New Roman" w:cs="Times New Roman"/>
          <w:b/>
          <w:color w:val="004625" w:themeColor="text2"/>
          <w:sz w:val="36"/>
          <w:szCs w:val="36"/>
        </w:rPr>
        <w:t>MEMORANDUM</w:t>
      </w:r>
    </w:p>
    <w:p w14:paraId="5BBDE51C" w14:textId="513EC5E5" w:rsidR="00D8302A" w:rsidRPr="00CD5091" w:rsidRDefault="00D8302A" w:rsidP="00D8302A">
      <w:pPr>
        <w:spacing w:before="240"/>
        <w:rPr>
          <w:color w:val="004625" w:themeColor="text2"/>
        </w:rPr>
      </w:pPr>
      <w:r w:rsidRPr="00CD5091">
        <w:rPr>
          <w:rFonts w:ascii="Arial Bold" w:eastAsia="Times New Roman" w:hAnsi="Arial Bold" w:cs="Times New Roman"/>
          <w:b/>
          <w:noProof/>
          <w:color w:val="004625" w:themeColor="text2"/>
          <w:sz w:val="36"/>
          <w:szCs w:val="36"/>
        </w:rPr>
        <w:t>To:</w:t>
      </w:r>
      <w:r w:rsidRPr="00CD5091">
        <w:rPr>
          <w:color w:val="004625" w:themeColor="text2"/>
        </w:rPr>
        <w:t xml:space="preserve"> </w:t>
      </w:r>
      <w:r w:rsidR="00BA1985">
        <w:rPr>
          <w:color w:val="004625" w:themeColor="text2"/>
        </w:rPr>
        <w:t>Lisa Skumatz, Bob Wirtshafter, and Ralph Prahl</w:t>
      </w:r>
      <w:r w:rsidR="007B1EA5">
        <w:rPr>
          <w:color w:val="004625" w:themeColor="text2"/>
        </w:rPr>
        <w:t>, Evaluation Committee</w:t>
      </w:r>
    </w:p>
    <w:p w14:paraId="0FABB12F" w14:textId="0094ACE4" w:rsidR="00D8302A" w:rsidRPr="00CD5091" w:rsidRDefault="00D8302A" w:rsidP="00D8302A">
      <w:pPr>
        <w:rPr>
          <w:color w:val="004625" w:themeColor="text2"/>
        </w:rPr>
      </w:pPr>
      <w:r w:rsidRPr="00CD5091">
        <w:rPr>
          <w:rFonts w:ascii="Arial Bold" w:eastAsia="Times New Roman" w:hAnsi="Arial Bold" w:cs="Times New Roman"/>
          <w:b/>
          <w:noProof/>
          <w:color w:val="004625" w:themeColor="text2"/>
          <w:sz w:val="36"/>
          <w:szCs w:val="36"/>
        </w:rPr>
        <w:t>From:</w:t>
      </w:r>
      <w:r w:rsidRPr="00CD5091">
        <w:rPr>
          <w:color w:val="004625" w:themeColor="text2"/>
        </w:rPr>
        <w:t xml:space="preserve"> </w:t>
      </w:r>
      <w:r w:rsidR="00E13CA2">
        <w:rPr>
          <w:color w:val="004625" w:themeColor="text2"/>
        </w:rPr>
        <w:t>NMR Group</w:t>
      </w:r>
    </w:p>
    <w:p w14:paraId="48B91511" w14:textId="675834BF" w:rsidR="00D8302A" w:rsidRPr="00CD5091" w:rsidRDefault="00D8302A" w:rsidP="00D8302A">
      <w:pPr>
        <w:rPr>
          <w:color w:val="004625" w:themeColor="text2"/>
        </w:rPr>
      </w:pPr>
      <w:r w:rsidRPr="00CD5091">
        <w:rPr>
          <w:rFonts w:ascii="Arial Bold" w:eastAsia="Times New Roman" w:hAnsi="Arial Bold" w:cs="Times New Roman"/>
          <w:b/>
          <w:noProof/>
          <w:color w:val="004625" w:themeColor="text2"/>
          <w:sz w:val="36"/>
          <w:szCs w:val="36"/>
        </w:rPr>
        <w:t>Date:</w:t>
      </w:r>
      <w:r w:rsidRPr="00CD5091">
        <w:rPr>
          <w:rFonts w:eastAsia="Times New Roman" w:cs="Arial"/>
          <w:color w:val="004625" w:themeColor="text2"/>
        </w:rPr>
        <w:t xml:space="preserve"> </w:t>
      </w:r>
      <w:r w:rsidR="00E13CA2">
        <w:rPr>
          <w:rFonts w:eastAsia="Times New Roman" w:cs="Arial"/>
          <w:color w:val="004625" w:themeColor="text2"/>
        </w:rPr>
        <w:t>Ju</w:t>
      </w:r>
      <w:r w:rsidR="00F167CF">
        <w:rPr>
          <w:rFonts w:eastAsia="Times New Roman" w:cs="Arial"/>
          <w:color w:val="004625" w:themeColor="text2"/>
        </w:rPr>
        <w:t>ly 1</w:t>
      </w:r>
      <w:r w:rsidR="00E13CA2">
        <w:rPr>
          <w:rFonts w:eastAsia="Times New Roman" w:cs="Arial"/>
          <w:color w:val="004625" w:themeColor="text2"/>
        </w:rPr>
        <w:t>, 2022</w:t>
      </w:r>
    </w:p>
    <w:p w14:paraId="20C73FB3" w14:textId="10068087" w:rsidR="00D8302A" w:rsidRPr="00AD628F" w:rsidRDefault="00D8302A" w:rsidP="00D8302A">
      <w:pPr>
        <w:pBdr>
          <w:bottom w:val="single" w:sz="6" w:space="1" w:color="auto"/>
        </w:pBdr>
        <w:rPr>
          <w:rFonts w:eastAsia="Times New Roman" w:cs="Times New Roman"/>
        </w:rPr>
      </w:pPr>
      <w:r w:rsidRPr="00CD5091">
        <w:rPr>
          <w:rFonts w:ascii="Arial Bold" w:eastAsia="Times New Roman" w:hAnsi="Arial Bold" w:cs="Times New Roman"/>
          <w:b/>
          <w:noProof/>
          <w:color w:val="004625" w:themeColor="text2"/>
          <w:sz w:val="36"/>
          <w:szCs w:val="36"/>
        </w:rPr>
        <w:t>Re:</w:t>
      </w:r>
      <w:r w:rsidRPr="00CD5091">
        <w:rPr>
          <w:color w:val="004625" w:themeColor="text2"/>
        </w:rPr>
        <w:t xml:space="preserve"> </w:t>
      </w:r>
      <w:r w:rsidR="00E13CA2">
        <w:rPr>
          <w:color w:val="004625" w:themeColor="text2"/>
        </w:rPr>
        <w:t>R1983 Savings-Weighted NTG Results</w:t>
      </w:r>
    </w:p>
    <w:bookmarkEnd w:id="0"/>
    <w:p w14:paraId="232FA979" w14:textId="2F29D56A" w:rsidR="00D8302A" w:rsidRDefault="00D8302A" w:rsidP="006101E9">
      <w:pPr>
        <w:rPr>
          <w:bCs/>
          <w:lang w:bidi="ar-SA"/>
        </w:rPr>
      </w:pPr>
      <w:r>
        <w:rPr>
          <w:bCs/>
          <w:lang w:bidi="ar-SA"/>
        </w:rPr>
        <w:t xml:space="preserve">This memo presents </w:t>
      </w:r>
      <w:r w:rsidR="00C50FB5">
        <w:rPr>
          <w:bCs/>
          <w:lang w:bidi="ar-SA"/>
        </w:rPr>
        <w:t xml:space="preserve">measure-specific </w:t>
      </w:r>
      <w:r>
        <w:rPr>
          <w:bCs/>
          <w:lang w:bidi="ar-SA"/>
        </w:rPr>
        <w:t>savings-weighted free-ridership</w:t>
      </w:r>
      <w:r w:rsidR="00DC4085">
        <w:rPr>
          <w:bCs/>
          <w:lang w:bidi="ar-SA"/>
        </w:rPr>
        <w:t>,</w:t>
      </w:r>
      <w:r>
        <w:rPr>
          <w:bCs/>
          <w:lang w:bidi="ar-SA"/>
        </w:rPr>
        <w:t xml:space="preserve"> spillover</w:t>
      </w:r>
      <w:r w:rsidR="00DC4085">
        <w:rPr>
          <w:bCs/>
          <w:lang w:bidi="ar-SA"/>
        </w:rPr>
        <w:t>, and installation rate</w:t>
      </w:r>
      <w:r>
        <w:rPr>
          <w:bCs/>
          <w:lang w:bidi="ar-SA"/>
        </w:rPr>
        <w:t xml:space="preserve"> values from the R1983 evaluation of the Home Energy Solutions program. </w:t>
      </w:r>
      <w:r w:rsidR="006B5874">
        <w:rPr>
          <w:bCs/>
          <w:lang w:bidi="ar-SA"/>
        </w:rPr>
        <w:t>High-level methodology is included here for context</w:t>
      </w:r>
      <w:r w:rsidR="007C1437">
        <w:rPr>
          <w:bCs/>
          <w:lang w:bidi="ar-SA"/>
        </w:rPr>
        <w:t>.</w:t>
      </w:r>
      <w:r w:rsidR="006B5874">
        <w:rPr>
          <w:bCs/>
          <w:lang w:bidi="ar-SA"/>
        </w:rPr>
        <w:t xml:space="preserve"> </w:t>
      </w:r>
      <w:r w:rsidR="007C1437">
        <w:rPr>
          <w:bCs/>
          <w:lang w:bidi="ar-SA"/>
        </w:rPr>
        <w:t>A</w:t>
      </w:r>
      <w:r w:rsidR="006B5874">
        <w:rPr>
          <w:bCs/>
          <w:lang w:bidi="ar-SA"/>
        </w:rPr>
        <w:t>dditional details and context will be provided in the final report</w:t>
      </w:r>
      <w:r w:rsidR="003312E9">
        <w:rPr>
          <w:bCs/>
          <w:lang w:bidi="ar-SA"/>
        </w:rPr>
        <w:t>.</w:t>
      </w:r>
      <w:r w:rsidR="005B6E57">
        <w:rPr>
          <w:bCs/>
          <w:lang w:bidi="ar-SA"/>
        </w:rPr>
        <w:t xml:space="preserve"> </w:t>
      </w:r>
    </w:p>
    <w:p w14:paraId="4D510950" w14:textId="089A1672" w:rsidR="006D3BFE" w:rsidRDefault="001128AF" w:rsidP="006101E9">
      <w:pPr>
        <w:rPr>
          <w:bCs/>
          <w:lang w:bidi="ar-SA"/>
        </w:rPr>
      </w:pPr>
      <w:r>
        <w:rPr>
          <w:bCs/>
          <w:lang w:bidi="ar-SA"/>
        </w:rPr>
        <w:t>The NMR team recommends the measure-level free-ridership</w:t>
      </w:r>
      <w:r w:rsidR="0053766F">
        <w:rPr>
          <w:bCs/>
          <w:lang w:bidi="ar-SA"/>
        </w:rPr>
        <w:t xml:space="preserve"> (FR)</w:t>
      </w:r>
      <w:r>
        <w:rPr>
          <w:bCs/>
          <w:lang w:bidi="ar-SA"/>
        </w:rPr>
        <w:t xml:space="preserve"> values and installation rates, </w:t>
      </w:r>
      <w:r w:rsidR="00EF48D0">
        <w:rPr>
          <w:bCs/>
          <w:lang w:bidi="ar-SA"/>
        </w:rPr>
        <w:t xml:space="preserve">along with a program-level </w:t>
      </w:r>
      <w:r w:rsidR="002035B6">
        <w:rPr>
          <w:bCs/>
          <w:lang w:bidi="ar-SA"/>
        </w:rPr>
        <w:t>participant spillover</w:t>
      </w:r>
      <w:r w:rsidR="0053766F">
        <w:rPr>
          <w:bCs/>
          <w:lang w:bidi="ar-SA"/>
        </w:rPr>
        <w:t xml:space="preserve"> (SO)</w:t>
      </w:r>
      <w:r w:rsidR="002035B6">
        <w:rPr>
          <w:bCs/>
          <w:lang w:bidi="ar-SA"/>
        </w:rPr>
        <w:t xml:space="preserve"> rate of 8.2%</w:t>
      </w:r>
      <w:r w:rsidR="00A83201">
        <w:rPr>
          <w:bCs/>
          <w:lang w:bidi="ar-SA"/>
        </w:rPr>
        <w:t xml:space="preserve">, as shown in </w:t>
      </w:r>
      <w:r w:rsidR="00A83201" w:rsidRPr="007B1EA5">
        <w:rPr>
          <w:rStyle w:val="CrossRefChar"/>
        </w:rPr>
        <w:fldChar w:fldCharType="begin"/>
      </w:r>
      <w:r w:rsidR="00A83201" w:rsidRPr="007B1EA5">
        <w:rPr>
          <w:rStyle w:val="CrossRefChar"/>
        </w:rPr>
        <w:instrText xml:space="preserve"> REF _Ref107582194 \h </w:instrText>
      </w:r>
      <w:r w:rsidR="00E61566">
        <w:rPr>
          <w:rStyle w:val="CrossRefChar"/>
        </w:rPr>
        <w:instrText xml:space="preserve"> \* MERGEFORMAT </w:instrText>
      </w:r>
      <w:r w:rsidR="00A83201" w:rsidRPr="007B1EA5">
        <w:rPr>
          <w:rStyle w:val="CrossRefChar"/>
        </w:rPr>
      </w:r>
      <w:r w:rsidR="00A83201" w:rsidRPr="007B1EA5">
        <w:rPr>
          <w:rStyle w:val="CrossRefChar"/>
        </w:rPr>
        <w:fldChar w:fldCharType="separate"/>
      </w:r>
      <w:r w:rsidR="00A83201" w:rsidRPr="007B1EA5">
        <w:rPr>
          <w:rStyle w:val="CrossRefChar"/>
        </w:rPr>
        <w:t>Table 1</w:t>
      </w:r>
      <w:r w:rsidR="00A83201" w:rsidRPr="007B1EA5">
        <w:rPr>
          <w:rStyle w:val="CrossRefChar"/>
        </w:rPr>
        <w:fldChar w:fldCharType="end"/>
      </w:r>
      <w:r w:rsidR="00A83201">
        <w:rPr>
          <w:bCs/>
          <w:lang w:bidi="ar-SA"/>
        </w:rPr>
        <w:t>.</w:t>
      </w:r>
    </w:p>
    <w:p w14:paraId="20E50342" w14:textId="4F141F88" w:rsidR="0022173A" w:rsidRDefault="0022173A" w:rsidP="007B1EA5">
      <w:pPr>
        <w:pStyle w:val="Caption"/>
      </w:pPr>
      <w:bookmarkStart w:id="1" w:name="_Ref107582194"/>
      <w:r>
        <w:t xml:space="preserve">Table </w:t>
      </w:r>
      <w:fldSimple w:instr=" SEQ Table \* ARABIC ">
        <w:r>
          <w:rPr>
            <w:noProof/>
          </w:rPr>
          <w:t>1</w:t>
        </w:r>
      </w:fldSimple>
      <w:bookmarkEnd w:id="1"/>
      <w:r>
        <w:t>: Summary of Recommended NTG Values and Installation Rates (HES)</w:t>
      </w:r>
    </w:p>
    <w:tbl>
      <w:tblPr>
        <w:tblStyle w:val="BodyEven"/>
        <w:tblW w:w="5000" w:type="pct"/>
        <w:tblLook w:val="04A0" w:firstRow="1" w:lastRow="0" w:firstColumn="1" w:lastColumn="0" w:noHBand="0" w:noVBand="1"/>
      </w:tblPr>
      <w:tblGrid>
        <w:gridCol w:w="4230"/>
        <w:gridCol w:w="1080"/>
        <w:gridCol w:w="809"/>
        <w:gridCol w:w="1801"/>
        <w:gridCol w:w="1440"/>
      </w:tblGrid>
      <w:tr w:rsidR="0022173A" w14:paraId="7D54D1ED" w14:textId="77777777" w:rsidTr="007B1E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pct"/>
            <w:vAlign w:val="center"/>
          </w:tcPr>
          <w:p w14:paraId="037AB845" w14:textId="4B1BF906" w:rsidR="0022173A" w:rsidRDefault="0022173A" w:rsidP="007B1EA5">
            <w:pPr>
              <w:keepNext/>
              <w:keepLines/>
              <w:spacing w:after="0" w:line="280" w:lineRule="exact"/>
            </w:pPr>
            <w:r>
              <w:t>Measure</w:t>
            </w:r>
          </w:p>
        </w:tc>
        <w:tc>
          <w:tcPr>
            <w:tcW w:w="577" w:type="pct"/>
            <w:vAlign w:val="center"/>
          </w:tcPr>
          <w:p w14:paraId="15FBEB29" w14:textId="77777777" w:rsidR="0022173A" w:rsidRDefault="0022173A" w:rsidP="007B1EA5">
            <w:pPr>
              <w:keepNext/>
              <w:keepLines/>
              <w:spacing w:after="0"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</w:t>
            </w:r>
          </w:p>
        </w:tc>
        <w:tc>
          <w:tcPr>
            <w:tcW w:w="432" w:type="pct"/>
            <w:vAlign w:val="center"/>
          </w:tcPr>
          <w:p w14:paraId="7C79514B" w14:textId="77777777" w:rsidR="0022173A" w:rsidRDefault="0022173A" w:rsidP="007B1EA5">
            <w:pPr>
              <w:keepNext/>
              <w:keepLines/>
              <w:spacing w:after="0"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</w:t>
            </w:r>
          </w:p>
        </w:tc>
        <w:tc>
          <w:tcPr>
            <w:tcW w:w="962" w:type="pct"/>
            <w:vAlign w:val="center"/>
          </w:tcPr>
          <w:p w14:paraId="55309C70" w14:textId="288ED3C6" w:rsidR="0022173A" w:rsidRDefault="0022173A" w:rsidP="007B1EA5">
            <w:pPr>
              <w:keepNext/>
              <w:keepLines/>
              <w:spacing w:after="0"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NTG</w:t>
            </w:r>
          </w:p>
          <w:p w14:paraId="44EE47A2" w14:textId="3955C4D7" w:rsidR="0022173A" w:rsidRDefault="0022173A" w:rsidP="007B1EA5">
            <w:pPr>
              <w:keepNext/>
              <w:keepLines/>
              <w:spacing w:after="0"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(1</w:t>
            </w:r>
            <w:r w:rsidR="00045CA4">
              <w:t>00%</w:t>
            </w:r>
            <w:r>
              <w:t>-</w:t>
            </w:r>
            <w:proofErr w:type="gramStart"/>
            <w:r>
              <w:t>FR</w:t>
            </w:r>
            <w:r w:rsidR="00045CA4">
              <w:t>)</w:t>
            </w:r>
            <w:r>
              <w:t>+</w:t>
            </w:r>
            <w:proofErr w:type="gramEnd"/>
            <w:r>
              <w:t>SO</w:t>
            </w:r>
          </w:p>
        </w:tc>
        <w:tc>
          <w:tcPr>
            <w:tcW w:w="0" w:type="pct"/>
            <w:vAlign w:val="center"/>
          </w:tcPr>
          <w:p w14:paraId="043EEE9E" w14:textId="77777777" w:rsidR="0022173A" w:rsidRDefault="0022173A" w:rsidP="007B1EA5">
            <w:pPr>
              <w:keepNext/>
              <w:keepLines/>
              <w:spacing w:after="0"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Installation rate</w:t>
            </w:r>
          </w:p>
        </w:tc>
      </w:tr>
      <w:tr w:rsidR="0022173A" w14:paraId="3EB879ED" w14:textId="77777777" w:rsidTr="007B1E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pct"/>
          </w:tcPr>
          <w:p w14:paraId="3A066995" w14:textId="77777777" w:rsidR="0022173A" w:rsidRDefault="0022173A" w:rsidP="007B1EA5">
            <w:pPr>
              <w:keepNext/>
              <w:keepLines/>
              <w:spacing w:after="0" w:line="280" w:lineRule="exact"/>
              <w:jc w:val="left"/>
            </w:pPr>
            <w:r w:rsidRPr="001E56BD">
              <w:t>Door and window weatherization</w:t>
            </w:r>
          </w:p>
        </w:tc>
        <w:tc>
          <w:tcPr>
            <w:tcW w:w="577" w:type="pct"/>
          </w:tcPr>
          <w:p w14:paraId="230D55F8" w14:textId="77777777" w:rsidR="0022173A" w:rsidRDefault="0022173A" w:rsidP="007B1EA5">
            <w:pPr>
              <w:keepNext/>
              <w:keepLines/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28%</w:t>
            </w:r>
          </w:p>
        </w:tc>
        <w:tc>
          <w:tcPr>
            <w:tcW w:w="432" w:type="pct"/>
          </w:tcPr>
          <w:p w14:paraId="51A7C098" w14:textId="77777777" w:rsidR="0022173A" w:rsidRDefault="0022173A" w:rsidP="007B1EA5">
            <w:pPr>
              <w:keepNext/>
              <w:keepLines/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8%</w:t>
            </w:r>
          </w:p>
        </w:tc>
        <w:tc>
          <w:tcPr>
            <w:tcW w:w="962" w:type="pct"/>
          </w:tcPr>
          <w:p w14:paraId="2B945538" w14:textId="77777777" w:rsidR="0022173A" w:rsidRPr="005D5213" w:rsidRDefault="0022173A" w:rsidP="007B1EA5">
            <w:pPr>
              <w:keepNext/>
              <w:keepLines/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80%</w:t>
            </w:r>
          </w:p>
        </w:tc>
        <w:tc>
          <w:tcPr>
            <w:tcW w:w="769" w:type="pct"/>
          </w:tcPr>
          <w:p w14:paraId="7496228D" w14:textId="77777777" w:rsidR="0022173A" w:rsidRDefault="0022173A" w:rsidP="007B1EA5">
            <w:pPr>
              <w:keepNext/>
              <w:keepLines/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5213">
              <w:t>92%</w:t>
            </w:r>
          </w:p>
        </w:tc>
      </w:tr>
      <w:tr w:rsidR="0022173A" w14:paraId="5687E5B5" w14:textId="77777777" w:rsidTr="007B1E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pct"/>
          </w:tcPr>
          <w:p w14:paraId="462A58EE" w14:textId="77777777" w:rsidR="0022173A" w:rsidRPr="001E56BD" w:rsidRDefault="0022173A" w:rsidP="007B1EA5">
            <w:pPr>
              <w:keepNext/>
              <w:keepLines/>
              <w:spacing w:after="0" w:line="280" w:lineRule="exact"/>
              <w:jc w:val="left"/>
            </w:pPr>
            <w:r>
              <w:t>Duct sealing</w:t>
            </w:r>
          </w:p>
        </w:tc>
        <w:tc>
          <w:tcPr>
            <w:tcW w:w="577" w:type="pct"/>
          </w:tcPr>
          <w:p w14:paraId="61A28883" w14:textId="77777777" w:rsidR="0022173A" w:rsidRDefault="0022173A" w:rsidP="007B1EA5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14%</w:t>
            </w:r>
          </w:p>
        </w:tc>
        <w:tc>
          <w:tcPr>
            <w:tcW w:w="432" w:type="pct"/>
          </w:tcPr>
          <w:p w14:paraId="335BF291" w14:textId="77777777" w:rsidR="0022173A" w:rsidRDefault="0022173A" w:rsidP="007B1EA5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8%</w:t>
            </w:r>
          </w:p>
        </w:tc>
        <w:tc>
          <w:tcPr>
            <w:tcW w:w="962" w:type="pct"/>
          </w:tcPr>
          <w:p w14:paraId="69756A82" w14:textId="77777777" w:rsidR="0022173A" w:rsidRPr="005D5213" w:rsidRDefault="0022173A" w:rsidP="007B1EA5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94%</w:t>
            </w:r>
          </w:p>
        </w:tc>
        <w:tc>
          <w:tcPr>
            <w:tcW w:w="0" w:type="pct"/>
          </w:tcPr>
          <w:p w14:paraId="5883E227" w14:textId="77777777" w:rsidR="0022173A" w:rsidRPr="005D5213" w:rsidRDefault="0022173A" w:rsidP="007B1EA5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100%</w:t>
            </w:r>
          </w:p>
        </w:tc>
      </w:tr>
      <w:tr w:rsidR="0022173A" w14:paraId="72AF097E" w14:textId="77777777" w:rsidTr="007B1E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pct"/>
          </w:tcPr>
          <w:p w14:paraId="36842E0A" w14:textId="77777777" w:rsidR="0022173A" w:rsidRDefault="0022173A" w:rsidP="007B1EA5">
            <w:pPr>
              <w:keepNext/>
              <w:keepLines/>
              <w:spacing w:after="0" w:line="280" w:lineRule="exact"/>
              <w:jc w:val="left"/>
            </w:pPr>
            <w:r w:rsidRPr="001E56BD">
              <w:t>Water-saving faucet aerators</w:t>
            </w:r>
          </w:p>
        </w:tc>
        <w:tc>
          <w:tcPr>
            <w:tcW w:w="577" w:type="pct"/>
          </w:tcPr>
          <w:p w14:paraId="07E714F2" w14:textId="77777777" w:rsidR="0022173A" w:rsidRDefault="0022173A" w:rsidP="007B1EA5">
            <w:pPr>
              <w:keepNext/>
              <w:keepLines/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20%</w:t>
            </w:r>
          </w:p>
        </w:tc>
        <w:tc>
          <w:tcPr>
            <w:tcW w:w="432" w:type="pct"/>
          </w:tcPr>
          <w:p w14:paraId="471B3D30" w14:textId="77777777" w:rsidR="0022173A" w:rsidRDefault="0022173A" w:rsidP="007B1EA5">
            <w:pPr>
              <w:keepNext/>
              <w:keepLines/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8%</w:t>
            </w:r>
          </w:p>
        </w:tc>
        <w:tc>
          <w:tcPr>
            <w:tcW w:w="962" w:type="pct"/>
          </w:tcPr>
          <w:p w14:paraId="7B0739E5" w14:textId="77777777" w:rsidR="0022173A" w:rsidRPr="005D5213" w:rsidRDefault="0022173A" w:rsidP="007B1EA5">
            <w:pPr>
              <w:keepNext/>
              <w:keepLines/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88%</w:t>
            </w:r>
          </w:p>
        </w:tc>
        <w:tc>
          <w:tcPr>
            <w:tcW w:w="0" w:type="pct"/>
          </w:tcPr>
          <w:p w14:paraId="5F44EFC4" w14:textId="77777777" w:rsidR="0022173A" w:rsidRDefault="0022173A" w:rsidP="007B1EA5">
            <w:pPr>
              <w:keepNext/>
              <w:keepLines/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5213">
              <w:t>85%</w:t>
            </w:r>
          </w:p>
        </w:tc>
      </w:tr>
      <w:tr w:rsidR="0022173A" w14:paraId="45A9A011" w14:textId="77777777" w:rsidTr="007B1E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pct"/>
          </w:tcPr>
          <w:p w14:paraId="400C1811" w14:textId="77777777" w:rsidR="0022173A" w:rsidRDefault="0022173A" w:rsidP="007B1EA5">
            <w:pPr>
              <w:keepNext/>
              <w:keepLines/>
              <w:spacing w:after="0" w:line="280" w:lineRule="exact"/>
              <w:jc w:val="left"/>
            </w:pPr>
            <w:r w:rsidRPr="001E56BD">
              <w:t>Water-saving showerhead</w:t>
            </w:r>
          </w:p>
        </w:tc>
        <w:tc>
          <w:tcPr>
            <w:tcW w:w="577" w:type="pct"/>
          </w:tcPr>
          <w:p w14:paraId="2B04103B" w14:textId="77777777" w:rsidR="0022173A" w:rsidRDefault="0022173A" w:rsidP="007B1EA5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20%</w:t>
            </w:r>
          </w:p>
        </w:tc>
        <w:tc>
          <w:tcPr>
            <w:tcW w:w="432" w:type="pct"/>
          </w:tcPr>
          <w:p w14:paraId="55EF68EB" w14:textId="77777777" w:rsidR="0022173A" w:rsidRDefault="0022173A" w:rsidP="007B1EA5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8%</w:t>
            </w:r>
          </w:p>
        </w:tc>
        <w:tc>
          <w:tcPr>
            <w:tcW w:w="962" w:type="pct"/>
          </w:tcPr>
          <w:p w14:paraId="5C98F622" w14:textId="77777777" w:rsidR="0022173A" w:rsidRPr="005D5213" w:rsidRDefault="0022173A" w:rsidP="007B1EA5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88%</w:t>
            </w:r>
          </w:p>
        </w:tc>
        <w:tc>
          <w:tcPr>
            <w:tcW w:w="0" w:type="pct"/>
          </w:tcPr>
          <w:p w14:paraId="73274C5E" w14:textId="77777777" w:rsidR="0022173A" w:rsidRDefault="0022173A" w:rsidP="007B1EA5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D5213">
              <w:t>82%</w:t>
            </w:r>
          </w:p>
        </w:tc>
      </w:tr>
      <w:tr w:rsidR="0022173A" w14:paraId="33AFB041" w14:textId="77777777" w:rsidTr="007B1E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pct"/>
          </w:tcPr>
          <w:p w14:paraId="176E9800" w14:textId="77777777" w:rsidR="0022173A" w:rsidRPr="001E56BD" w:rsidRDefault="0022173A" w:rsidP="007B1EA5">
            <w:pPr>
              <w:keepNext/>
              <w:keepLines/>
              <w:spacing w:after="0" w:line="280" w:lineRule="exact"/>
              <w:jc w:val="left"/>
            </w:pPr>
            <w:r>
              <w:t>Blower-door-guided air sealing</w:t>
            </w:r>
          </w:p>
        </w:tc>
        <w:tc>
          <w:tcPr>
            <w:tcW w:w="577" w:type="pct"/>
          </w:tcPr>
          <w:p w14:paraId="08C9FA17" w14:textId="77777777" w:rsidR="0022173A" w:rsidRDefault="0022173A" w:rsidP="007B1EA5">
            <w:pPr>
              <w:keepNext/>
              <w:keepLines/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11%</w:t>
            </w:r>
          </w:p>
        </w:tc>
        <w:tc>
          <w:tcPr>
            <w:tcW w:w="432" w:type="pct"/>
          </w:tcPr>
          <w:p w14:paraId="478BFFC6" w14:textId="77777777" w:rsidR="0022173A" w:rsidRDefault="0022173A" w:rsidP="007B1EA5">
            <w:pPr>
              <w:keepNext/>
              <w:keepLines/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8%</w:t>
            </w:r>
          </w:p>
        </w:tc>
        <w:tc>
          <w:tcPr>
            <w:tcW w:w="962" w:type="pct"/>
          </w:tcPr>
          <w:p w14:paraId="60E02A57" w14:textId="77777777" w:rsidR="0022173A" w:rsidRPr="005D5213" w:rsidRDefault="0022173A" w:rsidP="007B1EA5">
            <w:pPr>
              <w:keepNext/>
              <w:keepLines/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97%</w:t>
            </w:r>
          </w:p>
        </w:tc>
        <w:tc>
          <w:tcPr>
            <w:tcW w:w="0" w:type="pct"/>
          </w:tcPr>
          <w:p w14:paraId="12C53C87" w14:textId="77777777" w:rsidR="0022173A" w:rsidRPr="005D5213" w:rsidRDefault="0022173A" w:rsidP="007B1EA5">
            <w:pPr>
              <w:keepNext/>
              <w:keepLines/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100%</w:t>
            </w:r>
          </w:p>
        </w:tc>
      </w:tr>
      <w:tr w:rsidR="0022173A" w14:paraId="04867A14" w14:textId="77777777" w:rsidTr="007B1E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pct"/>
          </w:tcPr>
          <w:p w14:paraId="760983B4" w14:textId="77777777" w:rsidR="0022173A" w:rsidRDefault="0022173A" w:rsidP="007B1EA5">
            <w:pPr>
              <w:keepNext/>
              <w:keepLines/>
              <w:spacing w:after="0" w:line="280" w:lineRule="exact"/>
              <w:jc w:val="left"/>
            </w:pPr>
            <w:r w:rsidRPr="001E56BD">
              <w:t>Water heater pipe wrap or insulation</w:t>
            </w:r>
          </w:p>
        </w:tc>
        <w:tc>
          <w:tcPr>
            <w:tcW w:w="577" w:type="pct"/>
          </w:tcPr>
          <w:p w14:paraId="660E8547" w14:textId="77777777" w:rsidR="0022173A" w:rsidRDefault="0022173A" w:rsidP="007B1EA5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28%</w:t>
            </w:r>
          </w:p>
        </w:tc>
        <w:tc>
          <w:tcPr>
            <w:tcW w:w="432" w:type="pct"/>
          </w:tcPr>
          <w:p w14:paraId="561BDC6B" w14:textId="77777777" w:rsidR="0022173A" w:rsidRDefault="0022173A" w:rsidP="007B1EA5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8%</w:t>
            </w:r>
          </w:p>
        </w:tc>
        <w:tc>
          <w:tcPr>
            <w:tcW w:w="962" w:type="pct"/>
          </w:tcPr>
          <w:p w14:paraId="05E3D6BB" w14:textId="77777777" w:rsidR="0022173A" w:rsidRPr="005D5213" w:rsidRDefault="0022173A" w:rsidP="007B1EA5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80%</w:t>
            </w:r>
          </w:p>
        </w:tc>
        <w:tc>
          <w:tcPr>
            <w:tcW w:w="0" w:type="pct"/>
          </w:tcPr>
          <w:p w14:paraId="10B17FF4" w14:textId="77777777" w:rsidR="0022173A" w:rsidRDefault="0022173A" w:rsidP="007B1EA5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D5213">
              <w:t>97%</w:t>
            </w:r>
          </w:p>
        </w:tc>
      </w:tr>
      <w:tr w:rsidR="0022173A" w14:paraId="6ED36140" w14:textId="77777777" w:rsidTr="007B1E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pct"/>
          </w:tcPr>
          <w:p w14:paraId="3605FADA" w14:textId="77777777" w:rsidR="0022173A" w:rsidRDefault="0022173A" w:rsidP="007B1EA5">
            <w:pPr>
              <w:keepNext/>
              <w:keepLines/>
              <w:spacing w:after="0" w:line="280" w:lineRule="exact"/>
              <w:jc w:val="left"/>
            </w:pPr>
            <w:r w:rsidRPr="001E56BD">
              <w:t>Energy-efficient LED light bulbs</w:t>
            </w:r>
          </w:p>
        </w:tc>
        <w:tc>
          <w:tcPr>
            <w:tcW w:w="577" w:type="pct"/>
          </w:tcPr>
          <w:p w14:paraId="1E754FC5" w14:textId="77777777" w:rsidR="0022173A" w:rsidRDefault="0022173A" w:rsidP="007B1EA5">
            <w:pPr>
              <w:keepNext/>
              <w:keepLines/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36%</w:t>
            </w:r>
          </w:p>
        </w:tc>
        <w:tc>
          <w:tcPr>
            <w:tcW w:w="432" w:type="pct"/>
          </w:tcPr>
          <w:p w14:paraId="1581F27D" w14:textId="77777777" w:rsidR="0022173A" w:rsidRDefault="0022173A" w:rsidP="007B1EA5">
            <w:pPr>
              <w:keepNext/>
              <w:keepLines/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8%</w:t>
            </w:r>
          </w:p>
        </w:tc>
        <w:tc>
          <w:tcPr>
            <w:tcW w:w="962" w:type="pct"/>
          </w:tcPr>
          <w:p w14:paraId="3540688C" w14:textId="77777777" w:rsidR="0022173A" w:rsidRPr="005D5213" w:rsidRDefault="0022173A" w:rsidP="007B1EA5">
            <w:pPr>
              <w:keepNext/>
              <w:keepLines/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72%</w:t>
            </w:r>
          </w:p>
        </w:tc>
        <w:tc>
          <w:tcPr>
            <w:tcW w:w="769" w:type="pct"/>
          </w:tcPr>
          <w:p w14:paraId="02F7931D" w14:textId="77777777" w:rsidR="0022173A" w:rsidRDefault="0022173A" w:rsidP="007B1EA5">
            <w:pPr>
              <w:keepNext/>
              <w:keepLines/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5213">
              <w:t>98%</w:t>
            </w:r>
          </w:p>
        </w:tc>
      </w:tr>
      <w:tr w:rsidR="0022173A" w14:paraId="71271536" w14:textId="77777777" w:rsidTr="007B1E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pct"/>
          </w:tcPr>
          <w:p w14:paraId="3E46CA6A" w14:textId="77777777" w:rsidR="0022173A" w:rsidRDefault="0022173A" w:rsidP="007B1EA5">
            <w:pPr>
              <w:keepNext/>
              <w:keepLines/>
              <w:spacing w:after="0" w:line="280" w:lineRule="exact"/>
              <w:jc w:val="left"/>
            </w:pPr>
            <w:r w:rsidRPr="001E56BD">
              <w:t>Insulation</w:t>
            </w:r>
          </w:p>
        </w:tc>
        <w:tc>
          <w:tcPr>
            <w:tcW w:w="577" w:type="pct"/>
          </w:tcPr>
          <w:p w14:paraId="3CD02025" w14:textId="77777777" w:rsidR="0022173A" w:rsidRDefault="0022173A" w:rsidP="007B1EA5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23%</w:t>
            </w:r>
          </w:p>
        </w:tc>
        <w:tc>
          <w:tcPr>
            <w:tcW w:w="432" w:type="pct"/>
          </w:tcPr>
          <w:p w14:paraId="176E0AE7" w14:textId="77777777" w:rsidR="0022173A" w:rsidRDefault="0022173A" w:rsidP="007B1EA5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8%</w:t>
            </w:r>
          </w:p>
        </w:tc>
        <w:tc>
          <w:tcPr>
            <w:tcW w:w="962" w:type="pct"/>
          </w:tcPr>
          <w:p w14:paraId="73A50320" w14:textId="77777777" w:rsidR="0022173A" w:rsidRPr="005D5213" w:rsidRDefault="0022173A" w:rsidP="007B1EA5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85%</w:t>
            </w:r>
          </w:p>
        </w:tc>
        <w:tc>
          <w:tcPr>
            <w:tcW w:w="769" w:type="pct"/>
          </w:tcPr>
          <w:p w14:paraId="1C75E035" w14:textId="77777777" w:rsidR="0022173A" w:rsidRDefault="0022173A" w:rsidP="007B1EA5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D5213">
              <w:t>100%</w:t>
            </w:r>
          </w:p>
        </w:tc>
      </w:tr>
      <w:tr w:rsidR="0022173A" w14:paraId="15451303" w14:textId="77777777" w:rsidTr="007B1E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pct"/>
          </w:tcPr>
          <w:p w14:paraId="0365AF28" w14:textId="77777777" w:rsidR="0022173A" w:rsidRDefault="0022173A" w:rsidP="007B1EA5">
            <w:pPr>
              <w:keepNext/>
              <w:keepLines/>
              <w:spacing w:after="0" w:line="280" w:lineRule="exact"/>
              <w:jc w:val="left"/>
            </w:pPr>
            <w:proofErr w:type="spellStart"/>
            <w:r w:rsidRPr="001E56BD">
              <w:t>WiFi</w:t>
            </w:r>
            <w:proofErr w:type="spellEnd"/>
            <w:r w:rsidRPr="001E56BD">
              <w:t>-enabled smart thermostat</w:t>
            </w:r>
          </w:p>
        </w:tc>
        <w:tc>
          <w:tcPr>
            <w:tcW w:w="577" w:type="pct"/>
          </w:tcPr>
          <w:p w14:paraId="6EFD52CB" w14:textId="77777777" w:rsidR="0022173A" w:rsidRDefault="0022173A" w:rsidP="007B1EA5">
            <w:pPr>
              <w:keepNext/>
              <w:keepLines/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34%</w:t>
            </w:r>
          </w:p>
        </w:tc>
        <w:tc>
          <w:tcPr>
            <w:tcW w:w="432" w:type="pct"/>
          </w:tcPr>
          <w:p w14:paraId="075E179B" w14:textId="77777777" w:rsidR="0022173A" w:rsidRDefault="0022173A" w:rsidP="007B1EA5">
            <w:pPr>
              <w:keepNext/>
              <w:keepLines/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8%</w:t>
            </w:r>
          </w:p>
        </w:tc>
        <w:tc>
          <w:tcPr>
            <w:tcW w:w="962" w:type="pct"/>
          </w:tcPr>
          <w:p w14:paraId="3FBC517A" w14:textId="77777777" w:rsidR="0022173A" w:rsidRPr="005D5213" w:rsidRDefault="0022173A" w:rsidP="007B1EA5">
            <w:pPr>
              <w:keepNext/>
              <w:keepLines/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74%</w:t>
            </w:r>
          </w:p>
        </w:tc>
        <w:tc>
          <w:tcPr>
            <w:tcW w:w="0" w:type="pct"/>
          </w:tcPr>
          <w:p w14:paraId="368E89B1" w14:textId="77777777" w:rsidR="0022173A" w:rsidRDefault="0022173A" w:rsidP="007B1EA5">
            <w:pPr>
              <w:keepNext/>
              <w:keepLines/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5213">
              <w:t>96%</w:t>
            </w:r>
          </w:p>
        </w:tc>
      </w:tr>
      <w:tr w:rsidR="0022173A" w14:paraId="0FDA2342" w14:textId="77777777" w:rsidTr="007B1E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pct"/>
          </w:tcPr>
          <w:p w14:paraId="15F7070D" w14:textId="77777777" w:rsidR="0022173A" w:rsidRPr="001E56BD" w:rsidRDefault="0022173A" w:rsidP="007B1EA5">
            <w:pPr>
              <w:keepNext/>
              <w:keepLines/>
              <w:spacing w:after="0" w:line="280" w:lineRule="exact"/>
              <w:jc w:val="left"/>
            </w:pPr>
            <w:r w:rsidRPr="004E37DC">
              <w:t>Energy-efficient windows</w:t>
            </w:r>
          </w:p>
        </w:tc>
        <w:tc>
          <w:tcPr>
            <w:tcW w:w="577" w:type="pct"/>
          </w:tcPr>
          <w:p w14:paraId="40D63099" w14:textId="77777777" w:rsidR="0022173A" w:rsidRPr="001E56BD" w:rsidRDefault="0022173A" w:rsidP="007B1EA5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33%</w:t>
            </w:r>
          </w:p>
        </w:tc>
        <w:tc>
          <w:tcPr>
            <w:tcW w:w="432" w:type="pct"/>
          </w:tcPr>
          <w:p w14:paraId="7413443B" w14:textId="77777777" w:rsidR="0022173A" w:rsidRPr="005D5213" w:rsidRDefault="0022173A" w:rsidP="007B1EA5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8%</w:t>
            </w:r>
          </w:p>
        </w:tc>
        <w:tc>
          <w:tcPr>
            <w:tcW w:w="962" w:type="pct"/>
          </w:tcPr>
          <w:p w14:paraId="222D85CB" w14:textId="77777777" w:rsidR="0022173A" w:rsidRPr="004E37DC" w:rsidRDefault="0022173A" w:rsidP="007B1EA5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75%</w:t>
            </w:r>
          </w:p>
        </w:tc>
        <w:tc>
          <w:tcPr>
            <w:tcW w:w="0" w:type="pct"/>
          </w:tcPr>
          <w:p w14:paraId="4772880D" w14:textId="77777777" w:rsidR="0022173A" w:rsidRPr="005D5213" w:rsidRDefault="0022173A" w:rsidP="007B1EA5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E37DC">
              <w:t>9</w:t>
            </w:r>
            <w:r>
              <w:t>8</w:t>
            </w:r>
            <w:r w:rsidRPr="004E37DC">
              <w:t>%</w:t>
            </w:r>
          </w:p>
        </w:tc>
      </w:tr>
      <w:tr w:rsidR="0022173A" w14:paraId="01EDC6A2" w14:textId="77777777" w:rsidTr="007B1E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pct"/>
          </w:tcPr>
          <w:p w14:paraId="3E8747DC" w14:textId="77777777" w:rsidR="0022173A" w:rsidRPr="001E56BD" w:rsidRDefault="0022173A" w:rsidP="007B1EA5">
            <w:pPr>
              <w:keepNext/>
              <w:keepLines/>
              <w:spacing w:after="0" w:line="280" w:lineRule="exact"/>
              <w:jc w:val="left"/>
            </w:pPr>
            <w:r w:rsidRPr="004E37DC">
              <w:t>Central air conditioning system</w:t>
            </w:r>
          </w:p>
        </w:tc>
        <w:tc>
          <w:tcPr>
            <w:tcW w:w="577" w:type="pct"/>
          </w:tcPr>
          <w:p w14:paraId="66DC9531" w14:textId="77777777" w:rsidR="0022173A" w:rsidRPr="001E56BD" w:rsidRDefault="0022173A" w:rsidP="007B1EA5">
            <w:pPr>
              <w:keepNext/>
              <w:keepLines/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38%</w:t>
            </w:r>
          </w:p>
        </w:tc>
        <w:tc>
          <w:tcPr>
            <w:tcW w:w="432" w:type="pct"/>
          </w:tcPr>
          <w:p w14:paraId="37546393" w14:textId="77777777" w:rsidR="0022173A" w:rsidRPr="005D5213" w:rsidRDefault="0022173A" w:rsidP="007B1EA5">
            <w:pPr>
              <w:keepNext/>
              <w:keepLines/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8%</w:t>
            </w:r>
          </w:p>
        </w:tc>
        <w:tc>
          <w:tcPr>
            <w:tcW w:w="962" w:type="pct"/>
          </w:tcPr>
          <w:p w14:paraId="3B7CD206" w14:textId="77777777" w:rsidR="0022173A" w:rsidRPr="004E37DC" w:rsidRDefault="0022173A" w:rsidP="007B1EA5">
            <w:pPr>
              <w:keepNext/>
              <w:keepLines/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70%</w:t>
            </w:r>
          </w:p>
        </w:tc>
        <w:tc>
          <w:tcPr>
            <w:tcW w:w="0" w:type="pct"/>
          </w:tcPr>
          <w:p w14:paraId="3E91FEEE" w14:textId="77777777" w:rsidR="0022173A" w:rsidRPr="005D5213" w:rsidRDefault="0022173A" w:rsidP="007B1EA5">
            <w:pPr>
              <w:keepNext/>
              <w:keepLines/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37DC">
              <w:t>100%</w:t>
            </w:r>
          </w:p>
        </w:tc>
      </w:tr>
      <w:tr w:rsidR="0022173A" w14:paraId="6BF6C072" w14:textId="77777777" w:rsidTr="007B1E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pct"/>
          </w:tcPr>
          <w:p w14:paraId="19E9E3FC" w14:textId="77777777" w:rsidR="0022173A" w:rsidRPr="001E56BD" w:rsidRDefault="0022173A" w:rsidP="007B1EA5">
            <w:pPr>
              <w:keepNext/>
              <w:keepLines/>
              <w:spacing w:after="0" w:line="280" w:lineRule="exact"/>
              <w:jc w:val="left"/>
            </w:pPr>
            <w:r w:rsidRPr="004E37DC">
              <w:t>Ductless heat pump(s)</w:t>
            </w:r>
          </w:p>
        </w:tc>
        <w:tc>
          <w:tcPr>
            <w:tcW w:w="577" w:type="pct"/>
          </w:tcPr>
          <w:p w14:paraId="3CDBF7B1" w14:textId="77777777" w:rsidR="0022173A" w:rsidRPr="001E56BD" w:rsidRDefault="0022173A" w:rsidP="007B1EA5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38%</w:t>
            </w:r>
          </w:p>
        </w:tc>
        <w:tc>
          <w:tcPr>
            <w:tcW w:w="432" w:type="pct"/>
          </w:tcPr>
          <w:p w14:paraId="5DBA142C" w14:textId="77777777" w:rsidR="0022173A" w:rsidRPr="005D5213" w:rsidRDefault="0022173A" w:rsidP="007B1EA5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8%</w:t>
            </w:r>
          </w:p>
        </w:tc>
        <w:tc>
          <w:tcPr>
            <w:tcW w:w="962" w:type="pct"/>
          </w:tcPr>
          <w:p w14:paraId="46A4B1C7" w14:textId="77777777" w:rsidR="0022173A" w:rsidRPr="004E37DC" w:rsidRDefault="0022173A" w:rsidP="007B1EA5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70%</w:t>
            </w:r>
          </w:p>
        </w:tc>
        <w:tc>
          <w:tcPr>
            <w:tcW w:w="769" w:type="pct"/>
          </w:tcPr>
          <w:p w14:paraId="3744F84F" w14:textId="77777777" w:rsidR="0022173A" w:rsidRPr="005D5213" w:rsidRDefault="0022173A" w:rsidP="007B1EA5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E37DC">
              <w:t>98%</w:t>
            </w:r>
          </w:p>
        </w:tc>
      </w:tr>
      <w:tr w:rsidR="0022173A" w14:paraId="055BABFC" w14:textId="77777777" w:rsidTr="007B1E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pct"/>
          </w:tcPr>
          <w:p w14:paraId="7441B5C5" w14:textId="77777777" w:rsidR="0022173A" w:rsidRPr="001E56BD" w:rsidRDefault="0022173A" w:rsidP="007B1EA5">
            <w:pPr>
              <w:keepNext/>
              <w:keepLines/>
              <w:spacing w:after="0" w:line="280" w:lineRule="exact"/>
              <w:jc w:val="left"/>
            </w:pPr>
            <w:r w:rsidRPr="004E37DC">
              <w:t>Geothermal or ground-source heat pump</w:t>
            </w:r>
          </w:p>
        </w:tc>
        <w:tc>
          <w:tcPr>
            <w:tcW w:w="577" w:type="pct"/>
          </w:tcPr>
          <w:p w14:paraId="17E73730" w14:textId="77777777" w:rsidR="0022173A" w:rsidRPr="001E56BD" w:rsidRDefault="0022173A" w:rsidP="007B1EA5">
            <w:pPr>
              <w:keepNext/>
              <w:keepLines/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38%</w:t>
            </w:r>
          </w:p>
        </w:tc>
        <w:tc>
          <w:tcPr>
            <w:tcW w:w="432" w:type="pct"/>
          </w:tcPr>
          <w:p w14:paraId="1C3CE037" w14:textId="77777777" w:rsidR="0022173A" w:rsidRPr="005D5213" w:rsidRDefault="0022173A" w:rsidP="007B1EA5">
            <w:pPr>
              <w:keepNext/>
              <w:keepLines/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8%</w:t>
            </w:r>
          </w:p>
        </w:tc>
        <w:tc>
          <w:tcPr>
            <w:tcW w:w="962" w:type="pct"/>
          </w:tcPr>
          <w:p w14:paraId="66726529" w14:textId="77777777" w:rsidR="0022173A" w:rsidRPr="004E37DC" w:rsidRDefault="0022173A" w:rsidP="007B1EA5">
            <w:pPr>
              <w:keepNext/>
              <w:keepLines/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70%</w:t>
            </w:r>
          </w:p>
        </w:tc>
        <w:tc>
          <w:tcPr>
            <w:tcW w:w="0" w:type="pct"/>
          </w:tcPr>
          <w:p w14:paraId="4D9FC52A" w14:textId="77777777" w:rsidR="0022173A" w:rsidRPr="005D5213" w:rsidRDefault="0022173A" w:rsidP="007B1EA5">
            <w:pPr>
              <w:keepNext/>
              <w:keepLines/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37DC">
              <w:t>100%</w:t>
            </w:r>
          </w:p>
        </w:tc>
      </w:tr>
      <w:tr w:rsidR="0022173A" w14:paraId="430E35BA" w14:textId="77777777" w:rsidTr="007B1E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pct"/>
          </w:tcPr>
          <w:p w14:paraId="28E1A037" w14:textId="77777777" w:rsidR="0022173A" w:rsidRPr="001E56BD" w:rsidRDefault="0022173A" w:rsidP="007B1EA5">
            <w:pPr>
              <w:keepNext/>
              <w:keepLines/>
              <w:spacing w:after="0" w:line="280" w:lineRule="exact"/>
              <w:jc w:val="left"/>
            </w:pPr>
            <w:r w:rsidRPr="004E37DC">
              <w:t>Air-source heat pump</w:t>
            </w:r>
          </w:p>
        </w:tc>
        <w:tc>
          <w:tcPr>
            <w:tcW w:w="577" w:type="pct"/>
          </w:tcPr>
          <w:p w14:paraId="72CC2443" w14:textId="77777777" w:rsidR="0022173A" w:rsidRPr="001E56BD" w:rsidRDefault="0022173A" w:rsidP="007B1EA5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38%</w:t>
            </w:r>
          </w:p>
        </w:tc>
        <w:tc>
          <w:tcPr>
            <w:tcW w:w="432" w:type="pct"/>
          </w:tcPr>
          <w:p w14:paraId="1C9806B8" w14:textId="77777777" w:rsidR="0022173A" w:rsidRPr="005D5213" w:rsidRDefault="0022173A" w:rsidP="007B1EA5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8%</w:t>
            </w:r>
          </w:p>
        </w:tc>
        <w:tc>
          <w:tcPr>
            <w:tcW w:w="962" w:type="pct"/>
          </w:tcPr>
          <w:p w14:paraId="0F46755F" w14:textId="77777777" w:rsidR="0022173A" w:rsidRPr="004E37DC" w:rsidRDefault="0022173A" w:rsidP="007B1EA5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70%</w:t>
            </w:r>
          </w:p>
        </w:tc>
        <w:tc>
          <w:tcPr>
            <w:tcW w:w="0" w:type="pct"/>
          </w:tcPr>
          <w:p w14:paraId="1D117DA7" w14:textId="77777777" w:rsidR="0022173A" w:rsidRPr="005D5213" w:rsidRDefault="0022173A" w:rsidP="007B1EA5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E37DC">
              <w:t>100%</w:t>
            </w:r>
          </w:p>
        </w:tc>
      </w:tr>
      <w:tr w:rsidR="0022173A" w14:paraId="2F15AD2A" w14:textId="77777777" w:rsidTr="007B1E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pct"/>
          </w:tcPr>
          <w:p w14:paraId="132FF40B" w14:textId="77777777" w:rsidR="0022173A" w:rsidRPr="001E56BD" w:rsidRDefault="0022173A" w:rsidP="007B1EA5">
            <w:pPr>
              <w:keepNext/>
              <w:keepLines/>
              <w:spacing w:after="0" w:line="280" w:lineRule="exact"/>
              <w:jc w:val="left"/>
            </w:pPr>
            <w:r w:rsidRPr="004E37DC">
              <w:t>Freezer</w:t>
            </w:r>
          </w:p>
        </w:tc>
        <w:tc>
          <w:tcPr>
            <w:tcW w:w="577" w:type="pct"/>
          </w:tcPr>
          <w:p w14:paraId="31B20ACF" w14:textId="77777777" w:rsidR="0022173A" w:rsidRPr="001E56BD" w:rsidRDefault="0022173A" w:rsidP="007B1EA5">
            <w:pPr>
              <w:keepNext/>
              <w:keepLines/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47%</w:t>
            </w:r>
          </w:p>
        </w:tc>
        <w:tc>
          <w:tcPr>
            <w:tcW w:w="432" w:type="pct"/>
          </w:tcPr>
          <w:p w14:paraId="1655859D" w14:textId="77777777" w:rsidR="0022173A" w:rsidRPr="005D5213" w:rsidRDefault="0022173A" w:rsidP="007B1EA5">
            <w:pPr>
              <w:keepNext/>
              <w:keepLines/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8%</w:t>
            </w:r>
          </w:p>
        </w:tc>
        <w:tc>
          <w:tcPr>
            <w:tcW w:w="962" w:type="pct"/>
          </w:tcPr>
          <w:p w14:paraId="69F3866A" w14:textId="77777777" w:rsidR="0022173A" w:rsidRPr="004E37DC" w:rsidRDefault="0022173A" w:rsidP="007B1EA5">
            <w:pPr>
              <w:keepNext/>
              <w:keepLines/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61%</w:t>
            </w:r>
          </w:p>
        </w:tc>
        <w:tc>
          <w:tcPr>
            <w:tcW w:w="769" w:type="pct"/>
          </w:tcPr>
          <w:p w14:paraId="3E787B0E" w14:textId="77777777" w:rsidR="0022173A" w:rsidRPr="005D5213" w:rsidRDefault="0022173A" w:rsidP="007B1EA5">
            <w:pPr>
              <w:keepNext/>
              <w:keepLines/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37DC">
              <w:t>100%</w:t>
            </w:r>
          </w:p>
        </w:tc>
      </w:tr>
      <w:tr w:rsidR="0022173A" w14:paraId="76164FC2" w14:textId="77777777" w:rsidTr="007B1E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pct"/>
          </w:tcPr>
          <w:p w14:paraId="6DA0FF5E" w14:textId="77777777" w:rsidR="0022173A" w:rsidRPr="001E56BD" w:rsidRDefault="0022173A" w:rsidP="007B1EA5">
            <w:pPr>
              <w:keepNext/>
              <w:keepLines/>
              <w:spacing w:after="0" w:line="280" w:lineRule="exact"/>
              <w:jc w:val="left"/>
            </w:pPr>
            <w:r w:rsidRPr="004E37DC">
              <w:t>Refrigerator</w:t>
            </w:r>
          </w:p>
        </w:tc>
        <w:tc>
          <w:tcPr>
            <w:tcW w:w="577" w:type="pct"/>
          </w:tcPr>
          <w:p w14:paraId="5471B48E" w14:textId="77777777" w:rsidR="0022173A" w:rsidRPr="001E56BD" w:rsidRDefault="0022173A" w:rsidP="007B1EA5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47%</w:t>
            </w:r>
          </w:p>
        </w:tc>
        <w:tc>
          <w:tcPr>
            <w:tcW w:w="432" w:type="pct"/>
          </w:tcPr>
          <w:p w14:paraId="29288BB8" w14:textId="77777777" w:rsidR="0022173A" w:rsidRPr="005D5213" w:rsidRDefault="0022173A" w:rsidP="007B1EA5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8%</w:t>
            </w:r>
          </w:p>
        </w:tc>
        <w:tc>
          <w:tcPr>
            <w:tcW w:w="962" w:type="pct"/>
          </w:tcPr>
          <w:p w14:paraId="1384ED69" w14:textId="77777777" w:rsidR="0022173A" w:rsidRPr="004E37DC" w:rsidRDefault="0022173A" w:rsidP="007B1EA5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61%</w:t>
            </w:r>
          </w:p>
        </w:tc>
        <w:tc>
          <w:tcPr>
            <w:tcW w:w="0" w:type="pct"/>
          </w:tcPr>
          <w:p w14:paraId="6D948745" w14:textId="77777777" w:rsidR="0022173A" w:rsidRPr="005D5213" w:rsidRDefault="0022173A" w:rsidP="007B1EA5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E37DC">
              <w:t>97%</w:t>
            </w:r>
          </w:p>
        </w:tc>
      </w:tr>
      <w:tr w:rsidR="0022173A" w14:paraId="334F2234" w14:textId="77777777" w:rsidTr="007B1E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pct"/>
          </w:tcPr>
          <w:p w14:paraId="50FEC2AE" w14:textId="77777777" w:rsidR="0022173A" w:rsidRPr="001E56BD" w:rsidRDefault="0022173A" w:rsidP="007B1EA5">
            <w:pPr>
              <w:keepNext/>
              <w:keepLines/>
              <w:spacing w:after="0" w:line="280" w:lineRule="exact"/>
              <w:jc w:val="left"/>
            </w:pPr>
            <w:r w:rsidRPr="004E37DC">
              <w:t>Clothes washer</w:t>
            </w:r>
          </w:p>
        </w:tc>
        <w:tc>
          <w:tcPr>
            <w:tcW w:w="577" w:type="pct"/>
          </w:tcPr>
          <w:p w14:paraId="587F7B21" w14:textId="77777777" w:rsidR="0022173A" w:rsidRPr="001E56BD" w:rsidRDefault="0022173A" w:rsidP="007B1EA5">
            <w:pPr>
              <w:keepNext/>
              <w:keepLines/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42%</w:t>
            </w:r>
          </w:p>
        </w:tc>
        <w:tc>
          <w:tcPr>
            <w:tcW w:w="432" w:type="pct"/>
          </w:tcPr>
          <w:p w14:paraId="2DA38CBD" w14:textId="77777777" w:rsidR="0022173A" w:rsidRPr="005D5213" w:rsidRDefault="0022173A" w:rsidP="007B1EA5">
            <w:pPr>
              <w:keepNext/>
              <w:keepLines/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8%</w:t>
            </w:r>
          </w:p>
        </w:tc>
        <w:tc>
          <w:tcPr>
            <w:tcW w:w="962" w:type="pct"/>
          </w:tcPr>
          <w:p w14:paraId="765AE9C7" w14:textId="77777777" w:rsidR="0022173A" w:rsidRPr="004E37DC" w:rsidRDefault="0022173A" w:rsidP="007B1EA5">
            <w:pPr>
              <w:keepNext/>
              <w:keepLines/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66%</w:t>
            </w:r>
          </w:p>
        </w:tc>
        <w:tc>
          <w:tcPr>
            <w:tcW w:w="0" w:type="pct"/>
          </w:tcPr>
          <w:p w14:paraId="18C75D33" w14:textId="77777777" w:rsidR="0022173A" w:rsidRPr="005D5213" w:rsidRDefault="0022173A" w:rsidP="007B1EA5">
            <w:pPr>
              <w:keepNext/>
              <w:keepLines/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37DC">
              <w:t>96%</w:t>
            </w:r>
          </w:p>
        </w:tc>
      </w:tr>
      <w:tr w:rsidR="0022173A" w14:paraId="1F7B6418" w14:textId="77777777" w:rsidTr="007B1E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pct"/>
          </w:tcPr>
          <w:p w14:paraId="7DDFF2F6" w14:textId="77777777" w:rsidR="0022173A" w:rsidRPr="001E56BD" w:rsidRDefault="0022173A" w:rsidP="007B1EA5">
            <w:pPr>
              <w:keepNext/>
              <w:keepLines/>
              <w:spacing w:after="0" w:line="280" w:lineRule="exact"/>
              <w:jc w:val="left"/>
            </w:pPr>
            <w:r w:rsidRPr="004E37DC">
              <w:t>Dehumidifier</w:t>
            </w:r>
          </w:p>
        </w:tc>
        <w:tc>
          <w:tcPr>
            <w:tcW w:w="577" w:type="pct"/>
          </w:tcPr>
          <w:p w14:paraId="1378D1EA" w14:textId="77777777" w:rsidR="0022173A" w:rsidRPr="001E56BD" w:rsidRDefault="0022173A" w:rsidP="007B1EA5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43%</w:t>
            </w:r>
          </w:p>
        </w:tc>
        <w:tc>
          <w:tcPr>
            <w:tcW w:w="432" w:type="pct"/>
          </w:tcPr>
          <w:p w14:paraId="1D19ABF1" w14:textId="77777777" w:rsidR="0022173A" w:rsidRPr="005D5213" w:rsidRDefault="0022173A" w:rsidP="007B1EA5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8%</w:t>
            </w:r>
          </w:p>
        </w:tc>
        <w:tc>
          <w:tcPr>
            <w:tcW w:w="962" w:type="pct"/>
          </w:tcPr>
          <w:p w14:paraId="7CE5FD49" w14:textId="77777777" w:rsidR="0022173A" w:rsidRPr="004E37DC" w:rsidRDefault="0022173A" w:rsidP="007B1EA5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65%</w:t>
            </w:r>
          </w:p>
        </w:tc>
        <w:tc>
          <w:tcPr>
            <w:tcW w:w="0" w:type="pct"/>
          </w:tcPr>
          <w:p w14:paraId="1E32D754" w14:textId="77777777" w:rsidR="0022173A" w:rsidRPr="005D5213" w:rsidRDefault="0022173A" w:rsidP="007B1EA5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E37DC">
              <w:t>100%</w:t>
            </w:r>
          </w:p>
        </w:tc>
      </w:tr>
    </w:tbl>
    <w:p w14:paraId="7D21ED8E" w14:textId="77777777" w:rsidR="002035B6" w:rsidRDefault="002035B6" w:rsidP="006101E9"/>
    <w:p w14:paraId="5957B644" w14:textId="3254F170" w:rsidR="00E96374" w:rsidRDefault="006101E9" w:rsidP="006101E9">
      <w:pPr>
        <w:pStyle w:val="Heading1"/>
      </w:pPr>
      <w:r>
        <w:lastRenderedPageBreak/>
        <w:t>Net-to-Gross Findings</w:t>
      </w:r>
    </w:p>
    <w:p w14:paraId="417AE7D4" w14:textId="68218E7C" w:rsidR="007D28C0" w:rsidRDefault="00DB7F0A" w:rsidP="006101E9">
      <w:pPr>
        <w:rPr>
          <w:lang w:bidi="ar-SA"/>
        </w:rPr>
      </w:pPr>
      <w:r>
        <w:rPr>
          <w:lang w:bidi="ar-SA"/>
        </w:rPr>
        <w:t>This study estimated net-to-gross (NTG) ratios for the Home Energy Solutions (HES) program</w:t>
      </w:r>
      <w:r w:rsidR="000F5C77">
        <w:rPr>
          <w:lang w:bidi="ar-SA"/>
        </w:rPr>
        <w:t xml:space="preserve"> using findings from participant surveys and in-depth interviews from program vendors</w:t>
      </w:r>
      <w:r>
        <w:rPr>
          <w:lang w:bidi="ar-SA"/>
        </w:rPr>
        <w:t xml:space="preserve">. </w:t>
      </w:r>
      <w:r w:rsidR="007D28C0">
        <w:rPr>
          <w:lang w:bidi="ar-SA"/>
        </w:rPr>
        <w:t>NTG ratios are estimated using free-ridership</w:t>
      </w:r>
      <w:r w:rsidR="00C45CA6">
        <w:rPr>
          <w:lang w:bidi="ar-SA"/>
        </w:rPr>
        <w:t xml:space="preserve"> (FR)</w:t>
      </w:r>
      <w:r w:rsidR="007D28C0">
        <w:rPr>
          <w:lang w:bidi="ar-SA"/>
        </w:rPr>
        <w:t xml:space="preserve"> and spillover</w:t>
      </w:r>
      <w:r w:rsidR="00C45CA6">
        <w:rPr>
          <w:lang w:bidi="ar-SA"/>
        </w:rPr>
        <w:t xml:space="preserve"> (SO)</w:t>
      </w:r>
      <w:r w:rsidR="007D28C0">
        <w:rPr>
          <w:lang w:bidi="ar-SA"/>
        </w:rPr>
        <w:t xml:space="preserve"> rates that are weighted and input into this formula:</w:t>
      </w:r>
    </w:p>
    <w:p w14:paraId="257BCD64" w14:textId="7CA3A1C4" w:rsidR="007D28C0" w:rsidRDefault="00EE337D" w:rsidP="006101E9">
      <w:pPr>
        <w:rPr>
          <w:lang w:bidi="ar-SA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lang w:bidi="ar-SA"/>
                </w:rPr>
              </m:ctrlPr>
            </m:dPr>
            <m:e>
              <m:r>
                <w:rPr>
                  <w:rFonts w:ascii="Cambria Math" w:hAnsi="Cambria Math"/>
                  <w:lang w:bidi="ar-SA"/>
                </w:rPr>
                <m:t>1-FR</m:t>
              </m:r>
            </m:e>
          </m:d>
          <m:r>
            <w:rPr>
              <w:rFonts w:ascii="Cambria Math" w:hAnsi="Cambria Math"/>
              <w:lang w:bidi="ar-SA"/>
            </w:rPr>
            <m:t>+SO=NTG ratio</m:t>
          </m:r>
        </m:oMath>
      </m:oMathPara>
    </w:p>
    <w:p w14:paraId="71107CAA" w14:textId="388434B1" w:rsidR="006B4CE4" w:rsidRDefault="00E22416" w:rsidP="006101E9">
      <w:pPr>
        <w:rPr>
          <w:lang w:bidi="ar-SA"/>
        </w:rPr>
      </w:pPr>
      <w:r>
        <w:rPr>
          <w:lang w:bidi="ar-SA"/>
        </w:rPr>
        <w:t xml:space="preserve">The free-ridership rate is the fraction of gross program savings that would have occurred in the absence of a program. Spillover </w:t>
      </w:r>
      <w:r w:rsidR="00B7098E">
        <w:rPr>
          <w:lang w:bidi="ar-SA"/>
        </w:rPr>
        <w:t>measures savings attributable to a program in addition to the program’s gross savings. Spillover includes the effects of participants who install additional energy-</w:t>
      </w:r>
      <w:r w:rsidR="000647EA">
        <w:rPr>
          <w:lang w:bidi="ar-SA"/>
        </w:rPr>
        <w:t xml:space="preserve">efficient measures as a result of what they learned in the program or non-participants who install or influence the installation of </w:t>
      </w:r>
      <w:r w:rsidR="00A75993">
        <w:rPr>
          <w:lang w:bidi="ar-SA"/>
        </w:rPr>
        <w:t>energy-efficient measures as a result of being influenced by the program.</w:t>
      </w:r>
      <w:r w:rsidR="00A75993">
        <w:rPr>
          <w:rStyle w:val="FootnoteReference"/>
          <w:lang w:bidi="ar-SA"/>
        </w:rPr>
        <w:footnoteReference w:id="2"/>
      </w:r>
      <w:r w:rsidR="00A75993">
        <w:rPr>
          <w:lang w:bidi="ar-SA"/>
        </w:rPr>
        <w:t xml:space="preserve"> </w:t>
      </w:r>
    </w:p>
    <w:p w14:paraId="7160F58B" w14:textId="5363D8DB" w:rsidR="007539D1" w:rsidRDefault="007539D1" w:rsidP="006101E9">
      <w:pPr>
        <w:rPr>
          <w:lang w:bidi="ar-SA"/>
        </w:rPr>
      </w:pPr>
      <w:r>
        <w:rPr>
          <w:lang w:bidi="ar-SA"/>
        </w:rPr>
        <w:t>In Connecticut, NTG serves as a component of the net realization rate</w:t>
      </w:r>
      <w:r w:rsidR="00083D34">
        <w:rPr>
          <w:lang w:bidi="ar-SA"/>
        </w:rPr>
        <w:t xml:space="preserve"> that is</w:t>
      </w:r>
      <w:r w:rsidR="00921A3E">
        <w:rPr>
          <w:lang w:bidi="ar-SA"/>
        </w:rPr>
        <w:t xml:space="preserve"> calculated</w:t>
      </w:r>
      <w:r>
        <w:rPr>
          <w:lang w:bidi="ar-SA"/>
        </w:rPr>
        <w:t xml:space="preserve"> using the following equation:</w:t>
      </w:r>
    </w:p>
    <w:p w14:paraId="625A9618" w14:textId="2EA1D20C" w:rsidR="00275840" w:rsidRDefault="00EE337D" w:rsidP="006101E9">
      <w:pPr>
        <w:rPr>
          <w:lang w:bidi="ar-SA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lang w:bidi="ar-SA"/>
                </w:rPr>
              </m:ctrlPr>
            </m:dPr>
            <m:e>
              <m:r>
                <w:rPr>
                  <w:rFonts w:ascii="Cambria Math" w:hAnsi="Cambria Math"/>
                  <w:lang w:bidi="ar-SA"/>
                </w:rPr>
                <m:t>Gross realization %</m:t>
              </m:r>
            </m:e>
          </m:d>
          <m:r>
            <w:rPr>
              <w:rFonts w:ascii="Cambria Math" w:hAnsi="Cambria Math"/>
              <w:lang w:bidi="ar-SA"/>
            </w:rPr>
            <m:t xml:space="preserve"> x </m:t>
          </m:r>
          <m:d>
            <m:dPr>
              <m:ctrlPr>
                <w:rPr>
                  <w:rFonts w:ascii="Cambria Math" w:hAnsi="Cambria Math"/>
                  <w:i/>
                  <w:lang w:bidi="ar-SA"/>
                </w:rPr>
              </m:ctrlPr>
            </m:dPr>
            <m:e>
              <m:r>
                <w:rPr>
                  <w:rFonts w:ascii="Cambria Math" w:hAnsi="Cambria Math"/>
                  <w:lang w:bidi="ar-SA"/>
                </w:rPr>
                <m:t>Installation rate %</m:t>
              </m:r>
            </m:e>
          </m:d>
          <m:r>
            <w:rPr>
              <w:rFonts w:ascii="Cambria Math" w:hAnsi="Cambria Math"/>
              <w:lang w:bidi="ar-SA"/>
            </w:rPr>
            <m:t xml:space="preserve"> x (100%-FR%-SO%)</m:t>
          </m:r>
        </m:oMath>
      </m:oMathPara>
    </w:p>
    <w:p w14:paraId="536176B2" w14:textId="51AB5F0A" w:rsidR="00126096" w:rsidRDefault="006A1BCE" w:rsidP="00E3228C">
      <w:pPr>
        <w:pStyle w:val="Normalaftertable"/>
        <w:rPr>
          <w:lang w:bidi="ar-SA"/>
        </w:rPr>
      </w:pPr>
      <w:r>
        <w:rPr>
          <w:lang w:bidi="ar-SA"/>
        </w:rPr>
        <w:t xml:space="preserve">The evaluation measured free-ridership </w:t>
      </w:r>
      <w:r w:rsidR="0019267A">
        <w:rPr>
          <w:lang w:bidi="ar-SA"/>
        </w:rPr>
        <w:t xml:space="preserve">and spillover for HES participants and non-participant spillover (NPSO) for HES vendors. </w:t>
      </w:r>
      <w:r w:rsidR="00126096">
        <w:rPr>
          <w:lang w:bidi="ar-SA"/>
        </w:rPr>
        <w:t xml:space="preserve">This study used the </w:t>
      </w:r>
      <w:r w:rsidR="003D5C14">
        <w:rPr>
          <w:lang w:bidi="ar-SA"/>
        </w:rPr>
        <w:t>Massac</w:t>
      </w:r>
      <w:r w:rsidR="00B477A0">
        <w:rPr>
          <w:lang w:bidi="ar-SA"/>
        </w:rPr>
        <w:t>husetts Residential Self Report Net-to-Gross Method (MA NTG) and further built upon the algorithm by de</w:t>
      </w:r>
      <w:r w:rsidR="00170A4F">
        <w:rPr>
          <w:lang w:bidi="ar-SA"/>
        </w:rPr>
        <w:t>veloping scoring schemes that incorporate</w:t>
      </w:r>
      <w:r w:rsidR="007321A7">
        <w:rPr>
          <w:lang w:bidi="ar-SA"/>
        </w:rPr>
        <w:t>d</w:t>
      </w:r>
      <w:r w:rsidR="00170A4F">
        <w:rPr>
          <w:lang w:bidi="ar-SA"/>
        </w:rPr>
        <w:t xml:space="preserve"> the Labeled Affective Magnitude (LAM) scale in place of the linearly scored elements of the MA NTG algorithm.</w:t>
      </w:r>
      <w:r w:rsidR="00126096" w:rsidRPr="00E3228C">
        <w:rPr>
          <w:rStyle w:val="FootnoteReference"/>
          <w:lang w:bidi="ar-SA"/>
        </w:rPr>
        <w:footnoteReference w:id="3"/>
      </w:r>
      <w:r w:rsidR="008D5C9A" w:rsidRPr="007E7434">
        <w:rPr>
          <w:vertAlign w:val="superscript"/>
          <w:lang w:bidi="ar-SA"/>
        </w:rPr>
        <w:t>,</w:t>
      </w:r>
      <w:r w:rsidR="008D5C9A">
        <w:rPr>
          <w:rStyle w:val="FootnoteReference"/>
          <w:lang w:bidi="ar-SA"/>
        </w:rPr>
        <w:footnoteReference w:id="4"/>
      </w:r>
    </w:p>
    <w:p w14:paraId="7295A30D" w14:textId="21FF3EC6" w:rsidR="009E19C9" w:rsidRDefault="00F86E1D" w:rsidP="00F86E1D">
      <w:pPr>
        <w:pStyle w:val="Heading2"/>
        <w:rPr>
          <w:lang w:bidi="ar-SA"/>
        </w:rPr>
      </w:pPr>
      <w:r>
        <w:rPr>
          <w:lang w:bidi="ar-SA"/>
        </w:rPr>
        <w:t>Methodology</w:t>
      </w:r>
    </w:p>
    <w:p w14:paraId="757F2E93" w14:textId="7198CC4A" w:rsidR="00DF1CD0" w:rsidRDefault="00D021C9" w:rsidP="00DF1CD0">
      <w:pPr>
        <w:rPr>
          <w:lang w:bidi="ar-SA"/>
        </w:rPr>
      </w:pPr>
      <w:r>
        <w:rPr>
          <w:lang w:bidi="ar-SA"/>
        </w:rPr>
        <w:t xml:space="preserve">The NMR team conducted a survey </w:t>
      </w:r>
      <w:r w:rsidR="001C6C5E">
        <w:rPr>
          <w:lang w:bidi="ar-SA"/>
        </w:rPr>
        <w:t>with 9</w:t>
      </w:r>
      <w:r w:rsidR="00A25006">
        <w:rPr>
          <w:lang w:bidi="ar-SA"/>
        </w:rPr>
        <w:t>32</w:t>
      </w:r>
      <w:r w:rsidR="001C6C5E">
        <w:rPr>
          <w:lang w:bidi="ar-SA"/>
        </w:rPr>
        <w:t xml:space="preserve"> HES participants and </w:t>
      </w:r>
      <w:r w:rsidR="0020270A">
        <w:rPr>
          <w:lang w:bidi="ar-SA"/>
        </w:rPr>
        <w:t>2</w:t>
      </w:r>
      <w:r w:rsidR="008336DA">
        <w:rPr>
          <w:lang w:bidi="ar-SA"/>
        </w:rPr>
        <w:t>76</w:t>
      </w:r>
      <w:r w:rsidR="001C6C5E">
        <w:rPr>
          <w:lang w:bidi="ar-SA"/>
        </w:rPr>
        <w:t xml:space="preserve"> HES-IE part</w:t>
      </w:r>
      <w:r w:rsidR="00870245">
        <w:rPr>
          <w:lang w:bidi="ar-SA"/>
        </w:rPr>
        <w:t xml:space="preserve">icipants. </w:t>
      </w:r>
      <w:r w:rsidR="00E424AB">
        <w:rPr>
          <w:lang w:bidi="ar-SA"/>
        </w:rPr>
        <w:t xml:space="preserve">The study period included respondents </w:t>
      </w:r>
      <w:r w:rsidR="00DB7A48">
        <w:rPr>
          <w:lang w:bidi="ar-SA"/>
        </w:rPr>
        <w:t xml:space="preserve">who participated </w:t>
      </w:r>
      <w:r w:rsidR="00CB7154">
        <w:rPr>
          <w:lang w:bidi="ar-SA"/>
        </w:rPr>
        <w:t xml:space="preserve">in HES from 2017 to 2020. </w:t>
      </w:r>
      <w:r w:rsidR="003378D1">
        <w:rPr>
          <w:lang w:bidi="ar-SA"/>
        </w:rPr>
        <w:t>As the NTG for the HES-IE program is assumed to be 1</w:t>
      </w:r>
      <w:r w:rsidR="00497F42">
        <w:rPr>
          <w:lang w:bidi="ar-SA"/>
        </w:rPr>
        <w:t>.0</w:t>
      </w:r>
      <w:r w:rsidR="003378D1">
        <w:rPr>
          <w:lang w:bidi="ar-SA"/>
        </w:rPr>
        <w:t xml:space="preserve">, </w:t>
      </w:r>
      <w:r w:rsidR="009179CF">
        <w:rPr>
          <w:lang w:bidi="ar-SA"/>
        </w:rPr>
        <w:t xml:space="preserve">the survey only asked NTG questions of HES participants. </w:t>
      </w:r>
      <w:r w:rsidR="004E159B">
        <w:rPr>
          <w:lang w:bidi="ar-SA"/>
        </w:rPr>
        <w:t xml:space="preserve">The survey was fielded </w:t>
      </w:r>
      <w:r w:rsidR="00C86B7E">
        <w:rPr>
          <w:lang w:bidi="ar-SA"/>
        </w:rPr>
        <w:t>November 2021</w:t>
      </w:r>
      <w:r w:rsidR="004E159B">
        <w:rPr>
          <w:lang w:bidi="ar-SA"/>
        </w:rPr>
        <w:t xml:space="preserve"> – </w:t>
      </w:r>
      <w:r w:rsidR="00C86B7E">
        <w:rPr>
          <w:lang w:bidi="ar-SA"/>
        </w:rPr>
        <w:t>February</w:t>
      </w:r>
      <w:r w:rsidR="004E159B">
        <w:rPr>
          <w:lang w:bidi="ar-SA"/>
        </w:rPr>
        <w:t xml:space="preserve"> 2022. HES participants were invited </w:t>
      </w:r>
      <w:r w:rsidR="0047008F">
        <w:rPr>
          <w:lang w:bidi="ar-SA"/>
        </w:rPr>
        <w:t>to participate by postcards and</w:t>
      </w:r>
      <w:r w:rsidR="00D20647">
        <w:rPr>
          <w:lang w:bidi="ar-SA"/>
        </w:rPr>
        <w:t xml:space="preserve"> given the option of completing the survey vi</w:t>
      </w:r>
      <w:r w:rsidR="00DF1CD0">
        <w:rPr>
          <w:lang w:bidi="ar-SA"/>
        </w:rPr>
        <w:t>a</w:t>
      </w:r>
      <w:r w:rsidR="00D20647">
        <w:rPr>
          <w:lang w:bidi="ar-SA"/>
        </w:rPr>
        <w:t xml:space="preserve"> </w:t>
      </w:r>
      <w:r w:rsidR="00CA7BCD">
        <w:rPr>
          <w:lang w:bidi="ar-SA"/>
        </w:rPr>
        <w:t>the web</w:t>
      </w:r>
      <w:r w:rsidR="00DF1CD0">
        <w:rPr>
          <w:lang w:bidi="ar-SA"/>
        </w:rPr>
        <w:t xml:space="preserve"> or telephone. </w:t>
      </w:r>
    </w:p>
    <w:p w14:paraId="25EA800B" w14:textId="2958267A" w:rsidR="0083163A" w:rsidRDefault="00961F38" w:rsidP="00DF1CD0">
      <w:pPr>
        <w:rPr>
          <w:lang w:bidi="ar-SA"/>
        </w:rPr>
      </w:pPr>
      <w:r>
        <w:rPr>
          <w:lang w:bidi="ar-SA"/>
        </w:rPr>
        <w:t xml:space="preserve">The NMR team </w:t>
      </w:r>
      <w:r w:rsidR="002069C4">
        <w:rPr>
          <w:lang w:bidi="ar-SA"/>
        </w:rPr>
        <w:t>presents NTG results unweighted and weighted by program savings</w:t>
      </w:r>
      <w:r w:rsidR="00D9393F">
        <w:rPr>
          <w:lang w:bidi="ar-SA"/>
        </w:rPr>
        <w:t>.</w:t>
      </w:r>
      <w:r>
        <w:rPr>
          <w:lang w:bidi="ar-SA"/>
        </w:rPr>
        <w:t xml:space="preserve"> Savings </w:t>
      </w:r>
      <w:r w:rsidR="00CD1E92">
        <w:rPr>
          <w:lang w:bidi="ar-SA"/>
        </w:rPr>
        <w:t xml:space="preserve">weights were derived from the program tracking database and converted into MMBtu. </w:t>
      </w:r>
      <w:r w:rsidR="0034065C">
        <w:rPr>
          <w:lang w:bidi="ar-SA"/>
        </w:rPr>
        <w:t xml:space="preserve">Each NTG response was weighted by the </w:t>
      </w:r>
      <w:r w:rsidR="00D176F0">
        <w:rPr>
          <w:lang w:bidi="ar-SA"/>
        </w:rPr>
        <w:t>savings recorded in the tracking data for th</w:t>
      </w:r>
      <w:r w:rsidR="007F02C3">
        <w:rPr>
          <w:lang w:bidi="ar-SA"/>
        </w:rPr>
        <w:t>at measure</w:t>
      </w:r>
      <w:r w:rsidR="00B757AA">
        <w:rPr>
          <w:lang w:bidi="ar-SA"/>
        </w:rPr>
        <w:t xml:space="preserve"> installed in that respondent’s home</w:t>
      </w:r>
      <w:r w:rsidR="00E26763">
        <w:rPr>
          <w:lang w:bidi="ar-SA"/>
        </w:rPr>
        <w:t xml:space="preserve">. </w:t>
      </w:r>
      <w:r>
        <w:rPr>
          <w:lang w:bidi="ar-SA"/>
        </w:rPr>
        <w:t>The NMR team recommends using free-ridership and spillover rates that are savings-weighted</w:t>
      </w:r>
      <w:r w:rsidR="00D9393F">
        <w:rPr>
          <w:lang w:bidi="ar-SA"/>
        </w:rPr>
        <w:t xml:space="preserve"> as they more accurately reflect the </w:t>
      </w:r>
      <w:r w:rsidR="00CC3A25">
        <w:rPr>
          <w:lang w:bidi="ar-SA"/>
        </w:rPr>
        <w:t xml:space="preserve">full </w:t>
      </w:r>
      <w:r w:rsidR="00D9393F">
        <w:rPr>
          <w:lang w:bidi="ar-SA"/>
        </w:rPr>
        <w:t xml:space="preserve">population </w:t>
      </w:r>
      <w:r w:rsidR="00CC3A25">
        <w:rPr>
          <w:lang w:bidi="ar-SA"/>
        </w:rPr>
        <w:t xml:space="preserve">of program savings </w:t>
      </w:r>
      <w:r w:rsidR="00D9393F">
        <w:rPr>
          <w:lang w:bidi="ar-SA"/>
        </w:rPr>
        <w:t>than unweighted results</w:t>
      </w:r>
      <w:r>
        <w:rPr>
          <w:lang w:bidi="ar-SA"/>
        </w:rPr>
        <w:t xml:space="preserve">. </w:t>
      </w:r>
    </w:p>
    <w:p w14:paraId="14F82998" w14:textId="72B5C238" w:rsidR="00977D88" w:rsidRDefault="00541C94" w:rsidP="008F1477">
      <w:pPr>
        <w:pStyle w:val="Heading2"/>
      </w:pPr>
      <w:r>
        <w:t>Free Ridership</w:t>
      </w:r>
    </w:p>
    <w:p w14:paraId="47D35610" w14:textId="1FD0E3B7" w:rsidR="00541C94" w:rsidRPr="00541C94" w:rsidRDefault="00353160" w:rsidP="00541C94">
      <w:r>
        <w:t>The participant survey asked</w:t>
      </w:r>
      <w:r w:rsidR="004E307A">
        <w:t xml:space="preserve"> 932 HES participants </w:t>
      </w:r>
      <w:r w:rsidR="00EA2DB2">
        <w:t>about measures they had installed through the program. The NMR team obtained usable responses from</w:t>
      </w:r>
      <w:r w:rsidDel="000C634B">
        <w:t xml:space="preserve"> </w:t>
      </w:r>
      <w:r w:rsidR="007B2CF3">
        <w:t>925</w:t>
      </w:r>
      <w:r>
        <w:t xml:space="preserve"> </w:t>
      </w:r>
      <w:proofErr w:type="spellStart"/>
      <w:r w:rsidR="00A660B8">
        <w:t>HES</w:t>
      </w:r>
      <w:proofErr w:type="spellEnd"/>
      <w:r w:rsidR="00A660B8">
        <w:t xml:space="preserve"> participants</w:t>
      </w:r>
      <w:r w:rsidR="008F52E4">
        <w:t xml:space="preserve">, </w:t>
      </w:r>
      <w:r w:rsidR="00AA2EFF">
        <w:t xml:space="preserve">representing </w:t>
      </w:r>
      <w:r w:rsidR="00D9676E">
        <w:t>9,721</w:t>
      </w:r>
      <w:r w:rsidR="00AA2EFF">
        <w:t xml:space="preserve"> MMBTU/year in gross savings</w:t>
      </w:r>
      <w:r w:rsidR="008F52E4">
        <w:t xml:space="preserve"> </w:t>
      </w:r>
      <w:r w:rsidR="00D9676E">
        <w:t>across</w:t>
      </w:r>
      <w:r w:rsidR="008F52E4">
        <w:t xml:space="preserve"> 1</w:t>
      </w:r>
      <w:r w:rsidR="0085476D">
        <w:t>7</w:t>
      </w:r>
      <w:r w:rsidR="008F52E4">
        <w:t xml:space="preserve"> different measure types</w:t>
      </w:r>
      <w:r w:rsidR="00AA2EFF">
        <w:t>.</w:t>
      </w:r>
      <w:r w:rsidR="00EA2DB2">
        <w:rPr>
          <w:rStyle w:val="FootnoteReference"/>
        </w:rPr>
        <w:footnoteReference w:id="5"/>
      </w:r>
      <w:r w:rsidR="00DF50E7">
        <w:t xml:space="preserve"> </w:t>
      </w:r>
      <w:r w:rsidR="008A0827">
        <w:t>Each respondent answered free-ridership questions about up to two measures.</w:t>
      </w:r>
      <w:r w:rsidR="00F76D92">
        <w:rPr>
          <w:rStyle w:val="FootnoteReference"/>
        </w:rPr>
        <w:footnoteReference w:id="6"/>
      </w:r>
      <w:r w:rsidR="008A0827">
        <w:t xml:space="preserve"> </w:t>
      </w:r>
    </w:p>
    <w:p w14:paraId="0F606C5C" w14:textId="494FC885" w:rsidR="0006164A" w:rsidRDefault="00C83E95" w:rsidP="0006164A">
      <w:r>
        <w:t>To estimate the HES free</w:t>
      </w:r>
      <w:r w:rsidR="001B15E3">
        <w:t xml:space="preserve"> ridership rate, the analysis used the product of two scores</w:t>
      </w:r>
      <w:r w:rsidR="002A6F48">
        <w:t xml:space="preserve">, as illustrated in </w:t>
      </w:r>
      <w:r w:rsidR="002A6F48" w:rsidRPr="002A6F48">
        <w:rPr>
          <w:rStyle w:val="CrossRefChar"/>
        </w:rPr>
        <w:fldChar w:fldCharType="begin"/>
      </w:r>
      <w:r w:rsidR="002A6F48" w:rsidRPr="002A6F48">
        <w:rPr>
          <w:rStyle w:val="CrossRefChar"/>
        </w:rPr>
        <w:instrText xml:space="preserve"> REF _Ref106112684 \h </w:instrText>
      </w:r>
      <w:r w:rsidR="002A6F48">
        <w:rPr>
          <w:rStyle w:val="CrossRefChar"/>
        </w:rPr>
        <w:instrText xml:space="preserve"> \* MERGEFORMAT </w:instrText>
      </w:r>
      <w:r w:rsidR="002A6F48" w:rsidRPr="002A6F48">
        <w:rPr>
          <w:rStyle w:val="CrossRefChar"/>
        </w:rPr>
      </w:r>
      <w:r w:rsidR="002A6F48" w:rsidRPr="002A6F48">
        <w:rPr>
          <w:rStyle w:val="CrossRefChar"/>
        </w:rPr>
        <w:fldChar w:fldCharType="separate"/>
      </w:r>
      <w:r w:rsidR="002A6F48" w:rsidRPr="002A6F48">
        <w:rPr>
          <w:rStyle w:val="CrossRefChar"/>
        </w:rPr>
        <w:t>Figure 1</w:t>
      </w:r>
      <w:r w:rsidR="002A6F48" w:rsidRPr="002A6F48">
        <w:rPr>
          <w:rStyle w:val="CrossRefChar"/>
        </w:rPr>
        <w:fldChar w:fldCharType="end"/>
      </w:r>
      <w:r w:rsidR="001B15E3">
        <w:t>:</w:t>
      </w:r>
    </w:p>
    <w:p w14:paraId="0A1E2AD6" w14:textId="242884E3" w:rsidR="00275791" w:rsidRDefault="00275791" w:rsidP="00A22AE2">
      <w:pPr>
        <w:pStyle w:val="ListParagraph"/>
        <w:numPr>
          <w:ilvl w:val="0"/>
          <w:numId w:val="30"/>
        </w:numPr>
      </w:pPr>
      <w:r w:rsidRPr="00A22AE2">
        <w:rPr>
          <w:b/>
          <w:bCs/>
        </w:rPr>
        <w:t xml:space="preserve">Influence. </w:t>
      </w:r>
      <w:r>
        <w:t>Participants were asked to consider</w:t>
      </w:r>
      <w:r w:rsidR="00165657">
        <w:t xml:space="preserve"> how</w:t>
      </w:r>
      <w:r w:rsidR="009426E9">
        <w:t xml:space="preserve"> influential program elements were on their decision to install the program measure. </w:t>
      </w:r>
      <w:r w:rsidR="0092491E">
        <w:t>The survey asked respondents to consider the following p</w:t>
      </w:r>
      <w:r w:rsidR="009426E9">
        <w:t>rogram elements</w:t>
      </w:r>
      <w:r w:rsidR="0092491E">
        <w:t xml:space="preserve">: </w:t>
      </w:r>
      <w:r w:rsidR="00A22AE2">
        <w:t>t</w:t>
      </w:r>
      <w:r w:rsidR="00091871">
        <w:t>he p</w:t>
      </w:r>
      <w:r w:rsidR="009426E9">
        <w:t>rogram rebate</w:t>
      </w:r>
      <w:r w:rsidR="00091871">
        <w:t xml:space="preserve"> available from the utility</w:t>
      </w:r>
      <w:r w:rsidR="00A22AE2">
        <w:t xml:space="preserve">; </w:t>
      </w:r>
      <w:r w:rsidR="00000910">
        <w:t xml:space="preserve">financing </w:t>
      </w:r>
      <w:r w:rsidR="009426E9">
        <w:t>options</w:t>
      </w:r>
      <w:r w:rsidR="00281308">
        <w:t xml:space="preserve"> available to help pay for the upgrade</w:t>
      </w:r>
      <w:r w:rsidR="00A22AE2">
        <w:t>; i</w:t>
      </w:r>
      <w:r w:rsidR="00AB3641">
        <w:t>nformation provided by the technician during the home energy assessment</w:t>
      </w:r>
      <w:r w:rsidR="00A22AE2">
        <w:t>;</w:t>
      </w:r>
      <w:r w:rsidR="00AB3641">
        <w:t xml:space="preserve"> information provided by the respondent’s utility or Energize </w:t>
      </w:r>
      <w:proofErr w:type="spellStart"/>
      <w:r w:rsidR="00AB3641">
        <w:t>Connecticut</w:t>
      </w:r>
      <w:r w:rsidR="00AB3641" w:rsidRPr="00A22AE2">
        <w:rPr>
          <w:vertAlign w:val="superscript"/>
        </w:rPr>
        <w:t>SM</w:t>
      </w:r>
      <w:proofErr w:type="spellEnd"/>
      <w:r w:rsidR="00A22AE2">
        <w:t>;</w:t>
      </w:r>
      <w:r w:rsidR="00AB3641">
        <w:t xml:space="preserve"> </w:t>
      </w:r>
      <w:r w:rsidR="00F12322">
        <w:t xml:space="preserve">and marketing materials </w:t>
      </w:r>
      <w:r w:rsidR="00A22AE2">
        <w:t xml:space="preserve">provided by the </w:t>
      </w:r>
      <w:r w:rsidR="005929AC">
        <w:t>contractor.</w:t>
      </w:r>
      <w:r w:rsidR="00F70555">
        <w:rPr>
          <w:rStyle w:val="FootnoteReference"/>
        </w:rPr>
        <w:footnoteReference w:id="7"/>
      </w:r>
      <w:r w:rsidR="005929AC">
        <w:t xml:space="preserve"> </w:t>
      </w:r>
      <w:r w:rsidR="0016606E">
        <w:t xml:space="preserve">The free-ridership algorithm </w:t>
      </w:r>
      <w:r w:rsidR="00000910">
        <w:t xml:space="preserve">used </w:t>
      </w:r>
      <w:r w:rsidR="0016606E">
        <w:t>the maximum influence score from all program elements</w:t>
      </w:r>
      <w:r w:rsidR="00BA04B8">
        <w:t xml:space="preserve"> rated by each respondent. </w:t>
      </w:r>
    </w:p>
    <w:p w14:paraId="3653ED6D" w14:textId="55B796F9" w:rsidR="001B15E3" w:rsidRDefault="002A5F5D" w:rsidP="001B15E3">
      <w:pPr>
        <w:pStyle w:val="ListParagraph"/>
        <w:numPr>
          <w:ilvl w:val="0"/>
          <w:numId w:val="30"/>
        </w:numPr>
      </w:pPr>
      <w:r>
        <w:rPr>
          <w:b/>
          <w:bCs/>
        </w:rPr>
        <w:t>Intent</w:t>
      </w:r>
      <w:r w:rsidR="00F07154">
        <w:t>, which itself contains three scores:</w:t>
      </w:r>
    </w:p>
    <w:p w14:paraId="38BF3AEE" w14:textId="37572307" w:rsidR="00F07154" w:rsidRDefault="00F07154" w:rsidP="00F07154">
      <w:pPr>
        <w:pStyle w:val="ListParagraph"/>
        <w:numPr>
          <w:ilvl w:val="1"/>
          <w:numId w:val="30"/>
        </w:numPr>
      </w:pPr>
      <w:r w:rsidRPr="003504C6">
        <w:rPr>
          <w:b/>
          <w:bCs/>
        </w:rPr>
        <w:t>Timing</w:t>
      </w:r>
      <w:r w:rsidR="003504C6">
        <w:t>.</w:t>
      </w:r>
      <w:r w:rsidR="008A0F2C">
        <w:t xml:space="preserve"> </w:t>
      </w:r>
      <w:r w:rsidR="00675BC3">
        <w:t xml:space="preserve">Participants were asked </w:t>
      </w:r>
      <w:r w:rsidR="00F81E19">
        <w:t xml:space="preserve">about the likelihood of installing the measure at the same time </w:t>
      </w:r>
      <w:r w:rsidR="00E73640">
        <w:t xml:space="preserve">that </w:t>
      </w:r>
      <w:r w:rsidR="00522A89">
        <w:t xml:space="preserve">they did </w:t>
      </w:r>
      <w:r w:rsidR="000D77BA">
        <w:t xml:space="preserve">if </w:t>
      </w:r>
      <w:r w:rsidR="0018004E">
        <w:t>the rebate, financing, and/or program support</w:t>
      </w:r>
      <w:r w:rsidR="000D77BA">
        <w:t xml:space="preserve"> had not been available</w:t>
      </w:r>
      <w:r w:rsidR="0018004E">
        <w:t xml:space="preserve">. If the measure was mechanical equipment or an appliance, respondents also indicated whether it was new or installed to replace an existing piece of equipment. </w:t>
      </w:r>
    </w:p>
    <w:p w14:paraId="70C2A127" w14:textId="0A1F69DF" w:rsidR="00F07154" w:rsidRDefault="00F07154" w:rsidP="00F07154">
      <w:pPr>
        <w:pStyle w:val="ListParagraph"/>
        <w:numPr>
          <w:ilvl w:val="1"/>
          <w:numId w:val="30"/>
        </w:numPr>
      </w:pPr>
      <w:r w:rsidRPr="00BD47A8">
        <w:rPr>
          <w:b/>
          <w:bCs/>
        </w:rPr>
        <w:t>Quantity</w:t>
      </w:r>
      <w:r w:rsidR="00BD47A8">
        <w:t xml:space="preserve">. </w:t>
      </w:r>
      <w:r w:rsidR="00374743">
        <w:t xml:space="preserve">Respondents were asked to indicate </w:t>
      </w:r>
      <w:r w:rsidR="004F1EB0">
        <w:t>the likelihood of their installing</w:t>
      </w:r>
      <w:r w:rsidR="00A27FA2">
        <w:t xml:space="preserve"> the same number</w:t>
      </w:r>
      <w:r w:rsidR="004B23E0">
        <w:t xml:space="preserve"> of uni</w:t>
      </w:r>
      <w:r w:rsidR="00136D4D">
        <w:t>t</w:t>
      </w:r>
      <w:r w:rsidR="003B4D31">
        <w:t xml:space="preserve">s </w:t>
      </w:r>
      <w:r w:rsidR="00F6424F">
        <w:t xml:space="preserve">(in the case of mechanical equipment, appliances, lighting, thermostats, or windows) </w:t>
      </w:r>
      <w:r w:rsidR="003B4D31">
        <w:t>or amount/</w:t>
      </w:r>
      <w:r w:rsidR="009C10B4">
        <w:t>percent o</w:t>
      </w:r>
      <w:r w:rsidR="006920E4">
        <w:t xml:space="preserve">f the </w:t>
      </w:r>
      <w:r w:rsidR="003B4D31">
        <w:t xml:space="preserve">measure (in the case of air sealing, duct sealing, </w:t>
      </w:r>
      <w:r w:rsidR="00F6424F">
        <w:t xml:space="preserve">weatherization, </w:t>
      </w:r>
      <w:r w:rsidR="003B4D31">
        <w:t>and insulation</w:t>
      </w:r>
      <w:r w:rsidR="00F6424F">
        <w:t>).</w:t>
      </w:r>
    </w:p>
    <w:p w14:paraId="4064E7B1" w14:textId="5057437E" w:rsidR="00F07154" w:rsidRDefault="00166206" w:rsidP="002A6F48">
      <w:pPr>
        <w:pStyle w:val="ListParagraph"/>
        <w:numPr>
          <w:ilvl w:val="1"/>
          <w:numId w:val="30"/>
        </w:numPr>
      </w:pPr>
      <w:r>
        <w:rPr>
          <w:b/>
          <w:bCs/>
        </w:rPr>
        <w:t xml:space="preserve">Efficiency. </w:t>
      </w:r>
      <w:r w:rsidR="00AC779F">
        <w:t>Respondents indicated their likelihood of installing</w:t>
      </w:r>
      <w:r w:rsidR="00FE5B39">
        <w:t xml:space="preserve"> a measure with the same level of efficiency as the program-supported measure. </w:t>
      </w:r>
      <w:r w:rsidR="0018565A">
        <w:t>This question was asked about all add-on measures</w:t>
      </w:r>
      <w:r w:rsidR="00CD00CF">
        <w:t>. F</w:t>
      </w:r>
      <w:r w:rsidR="00374BDB">
        <w:t>or core measures, the survey only asked about lighting</w:t>
      </w:r>
      <w:r w:rsidR="00110D07">
        <w:t xml:space="preserve"> because</w:t>
      </w:r>
      <w:r w:rsidR="001608A1">
        <w:t xml:space="preserve"> efficiency levels for services </w:t>
      </w:r>
      <w:r w:rsidR="00DC2D86">
        <w:t xml:space="preserve">such as </w:t>
      </w:r>
      <w:r w:rsidR="00134A4E">
        <w:t xml:space="preserve">air sealing, duct sealing, </w:t>
      </w:r>
      <w:r w:rsidR="00D5676E">
        <w:t xml:space="preserve">door and window weatherization, and water-saving measures </w:t>
      </w:r>
      <w:r w:rsidR="00833849">
        <w:t xml:space="preserve">do not have meaningful variations in efficiency. </w:t>
      </w:r>
    </w:p>
    <w:p w14:paraId="34FC5C63" w14:textId="13CD6F1C" w:rsidR="00D577CD" w:rsidRDefault="000F4DE1" w:rsidP="00360AB9">
      <w:pPr>
        <w:keepNext/>
        <w:keepLines/>
      </w:pPr>
      <w:r w:rsidRPr="0078229D">
        <w:rPr>
          <w:rStyle w:val="CrossRefChar"/>
        </w:rPr>
        <w:fldChar w:fldCharType="begin"/>
      </w:r>
      <w:r w:rsidRPr="0078229D">
        <w:rPr>
          <w:rStyle w:val="CrossRefChar"/>
        </w:rPr>
        <w:instrText xml:space="preserve"> REF _Ref106048786 \h </w:instrText>
      </w:r>
      <w:r w:rsidR="0078229D">
        <w:rPr>
          <w:rStyle w:val="CrossRefChar"/>
        </w:rPr>
        <w:instrText xml:space="preserve"> \* MERGEFORMAT </w:instrText>
      </w:r>
      <w:r w:rsidRPr="0078229D">
        <w:rPr>
          <w:rStyle w:val="CrossRefChar"/>
        </w:rPr>
      </w:r>
      <w:r w:rsidRPr="0078229D">
        <w:rPr>
          <w:rStyle w:val="CrossRefChar"/>
        </w:rPr>
        <w:fldChar w:fldCharType="separate"/>
      </w:r>
      <w:r w:rsidR="00630DA0" w:rsidRPr="00630DA0">
        <w:rPr>
          <w:rStyle w:val="CrossRefChar"/>
        </w:rPr>
        <w:t>Table 2</w:t>
      </w:r>
      <w:r w:rsidRPr="0078229D">
        <w:rPr>
          <w:rStyle w:val="CrossRefChar"/>
        </w:rPr>
        <w:fldChar w:fldCharType="end"/>
      </w:r>
      <w:r>
        <w:t xml:space="preserve"> shows free</w:t>
      </w:r>
      <w:r w:rsidR="00E56CFE">
        <w:t>-</w:t>
      </w:r>
      <w:r>
        <w:t xml:space="preserve">ridership rates for </w:t>
      </w:r>
      <w:r w:rsidR="00360992">
        <w:t xml:space="preserve">core measures </w:t>
      </w:r>
      <w:r w:rsidR="002658E0">
        <w:t xml:space="preserve">installed during the </w:t>
      </w:r>
      <w:r w:rsidR="009C2FA2">
        <w:t xml:space="preserve">energy assessment </w:t>
      </w:r>
      <w:r w:rsidR="00661958">
        <w:t>at the participant’s home. Among core measures, blower door-guided air sealing and duct sealing had the lowest free-ridership rate (11%</w:t>
      </w:r>
      <w:r w:rsidR="007A0666">
        <w:t xml:space="preserve"> and 14%, respectively</w:t>
      </w:r>
      <w:r w:rsidR="00661958">
        <w:t>)</w:t>
      </w:r>
      <w:r w:rsidR="00637DD5">
        <w:t>.</w:t>
      </w:r>
      <w:r w:rsidR="007A0666">
        <w:t xml:space="preserve"> LEDs had the highest free-ridership rate (36%)</w:t>
      </w:r>
      <w:r w:rsidR="00233779">
        <w:t xml:space="preserve"> among the core measures offered during the assessment.</w:t>
      </w:r>
      <w:r w:rsidR="009315C6">
        <w:rPr>
          <w:rStyle w:val="FootnoteReference"/>
        </w:rPr>
        <w:footnoteReference w:id="8"/>
      </w:r>
      <w:r w:rsidR="00637DD5">
        <w:t xml:space="preserve"> </w:t>
      </w:r>
    </w:p>
    <w:p w14:paraId="43A5E93A" w14:textId="4B2C453C" w:rsidR="00F51F1D" w:rsidRDefault="00F51F1D" w:rsidP="00360AB9">
      <w:pPr>
        <w:pStyle w:val="Caption"/>
        <w:keepLines/>
      </w:pPr>
      <w:bookmarkStart w:id="2" w:name="_Ref106048786"/>
      <w:r>
        <w:t xml:space="preserve">Table </w:t>
      </w:r>
      <w:r w:rsidR="00EE337D">
        <w:fldChar w:fldCharType="begin"/>
      </w:r>
      <w:r w:rsidR="00EE337D">
        <w:instrText xml:space="preserve"> SEQ Table \* ARABIC </w:instrText>
      </w:r>
      <w:r w:rsidR="00EE337D">
        <w:fldChar w:fldCharType="separate"/>
      </w:r>
      <w:r w:rsidR="0022173A">
        <w:rPr>
          <w:noProof/>
        </w:rPr>
        <w:t>3</w:t>
      </w:r>
      <w:r w:rsidR="00EE337D">
        <w:rPr>
          <w:noProof/>
        </w:rPr>
        <w:fldChar w:fldCharType="end"/>
      </w:r>
      <w:bookmarkEnd w:id="2"/>
      <w:r>
        <w:t xml:space="preserve">: </w:t>
      </w:r>
      <w:proofErr w:type="spellStart"/>
      <w:r>
        <w:t>HES</w:t>
      </w:r>
      <w:proofErr w:type="spellEnd"/>
      <w:r>
        <w:t xml:space="preserve"> Free Ridership – Core Measures</w:t>
      </w:r>
    </w:p>
    <w:tbl>
      <w:tblPr>
        <w:tblStyle w:val="BodyEven"/>
        <w:tblW w:w="5000" w:type="pct"/>
        <w:tblLook w:val="04A0" w:firstRow="1" w:lastRow="0" w:firstColumn="1" w:lastColumn="0" w:noHBand="0" w:noVBand="1"/>
      </w:tblPr>
      <w:tblGrid>
        <w:gridCol w:w="3780"/>
        <w:gridCol w:w="1574"/>
        <w:gridCol w:w="2003"/>
        <w:gridCol w:w="2003"/>
      </w:tblGrid>
      <w:tr w:rsidR="00DD722B" w14:paraId="209066C9" w14:textId="77777777" w:rsidTr="00E703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  <w:vAlign w:val="center"/>
          </w:tcPr>
          <w:p w14:paraId="57D8BB23" w14:textId="5E687395" w:rsidR="00DD722B" w:rsidRPr="00125651" w:rsidRDefault="00DD722B" w:rsidP="00E373CA">
            <w:pPr>
              <w:keepNext/>
              <w:keepLines/>
              <w:spacing w:after="0" w:line="280" w:lineRule="exact"/>
              <w:jc w:val="left"/>
              <w:rPr>
                <w:bCs/>
              </w:rPr>
            </w:pPr>
            <w:r w:rsidRPr="00125651">
              <w:rPr>
                <w:bCs/>
              </w:rPr>
              <w:t>Measure</w:t>
            </w:r>
          </w:p>
        </w:tc>
        <w:tc>
          <w:tcPr>
            <w:tcW w:w="841" w:type="pct"/>
            <w:vAlign w:val="center"/>
          </w:tcPr>
          <w:p w14:paraId="3090072E" w14:textId="67E10831" w:rsidR="00DD722B" w:rsidRPr="009E4237" w:rsidRDefault="00DD722B" w:rsidP="00E373CA">
            <w:pPr>
              <w:keepNext/>
              <w:keepLines/>
              <w:spacing w:after="0"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1070" w:type="pct"/>
            <w:vAlign w:val="center"/>
          </w:tcPr>
          <w:p w14:paraId="025FA8DC" w14:textId="1C3CEA0E" w:rsidR="00DD722B" w:rsidRDefault="00EB5086" w:rsidP="00E373CA">
            <w:pPr>
              <w:keepNext/>
              <w:keepLines/>
              <w:spacing w:after="0"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Unweighted FR</w:t>
            </w:r>
          </w:p>
        </w:tc>
        <w:tc>
          <w:tcPr>
            <w:tcW w:w="1070" w:type="pct"/>
            <w:vAlign w:val="center"/>
          </w:tcPr>
          <w:p w14:paraId="207044E8" w14:textId="58730D22" w:rsidR="00DD722B" w:rsidRPr="009E4237" w:rsidRDefault="00EB5086" w:rsidP="00E373CA">
            <w:pPr>
              <w:keepNext/>
              <w:keepLines/>
              <w:spacing w:after="0"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Savings-Weighted </w:t>
            </w:r>
            <w:r w:rsidR="00DD722B">
              <w:rPr>
                <w:bCs/>
              </w:rPr>
              <w:t>FR</w:t>
            </w:r>
          </w:p>
        </w:tc>
      </w:tr>
      <w:tr w:rsidR="00DD722B" w14:paraId="3931710C" w14:textId="77777777" w:rsidTr="00E703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  <w:vAlign w:val="center"/>
          </w:tcPr>
          <w:p w14:paraId="5EC3ECEF" w14:textId="3516A2B1" w:rsidR="00DD722B" w:rsidRPr="00C92BE4" w:rsidRDefault="00DD722B" w:rsidP="00E373CA">
            <w:pPr>
              <w:keepNext/>
              <w:keepLines/>
              <w:spacing w:after="0" w:line="280" w:lineRule="exact"/>
              <w:jc w:val="left"/>
            </w:pPr>
            <w:r>
              <w:t>Door and/or window weatherization</w:t>
            </w:r>
          </w:p>
        </w:tc>
        <w:tc>
          <w:tcPr>
            <w:tcW w:w="841" w:type="pct"/>
            <w:vAlign w:val="center"/>
          </w:tcPr>
          <w:p w14:paraId="1D656458" w14:textId="37ADC56C" w:rsidR="00DD722B" w:rsidRPr="000456B9" w:rsidRDefault="00DD722B" w:rsidP="00E373CA">
            <w:pPr>
              <w:keepNext/>
              <w:keepLines/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224</w:t>
            </w:r>
          </w:p>
        </w:tc>
        <w:tc>
          <w:tcPr>
            <w:tcW w:w="1070" w:type="pct"/>
            <w:vAlign w:val="center"/>
          </w:tcPr>
          <w:p w14:paraId="448B888A" w14:textId="5C618796" w:rsidR="00DD722B" w:rsidRPr="009B62F3" w:rsidRDefault="000748A8" w:rsidP="00E373CA">
            <w:pPr>
              <w:keepNext/>
              <w:keepLines/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>
              <w:t>28%</w:t>
            </w:r>
          </w:p>
        </w:tc>
        <w:tc>
          <w:tcPr>
            <w:tcW w:w="1070" w:type="pct"/>
            <w:vAlign w:val="center"/>
          </w:tcPr>
          <w:p w14:paraId="55C73D70" w14:textId="249B6E52" w:rsidR="00DD722B" w:rsidRPr="000456B9" w:rsidRDefault="00DD722B" w:rsidP="00E373CA">
            <w:pPr>
              <w:keepNext/>
              <w:keepLines/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4A9B">
              <w:t>28%</w:t>
            </w:r>
            <w:r w:rsidR="0061008B">
              <w:rPr>
                <w:vertAlign w:val="superscript"/>
              </w:rPr>
              <w:t>1</w:t>
            </w:r>
          </w:p>
        </w:tc>
      </w:tr>
      <w:tr w:rsidR="00DD722B" w14:paraId="6765FD5F" w14:textId="77777777" w:rsidTr="00E703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  <w:vAlign w:val="center"/>
          </w:tcPr>
          <w:p w14:paraId="38CABE4A" w14:textId="5F8589A9" w:rsidR="00DD722B" w:rsidRPr="00C92BE4" w:rsidRDefault="00DD722B" w:rsidP="00E373CA">
            <w:pPr>
              <w:keepNext/>
              <w:keepLines/>
              <w:spacing w:after="0" w:line="280" w:lineRule="exact"/>
              <w:jc w:val="left"/>
            </w:pPr>
            <w:r>
              <w:t>Duct sealing</w:t>
            </w:r>
          </w:p>
        </w:tc>
        <w:tc>
          <w:tcPr>
            <w:tcW w:w="841" w:type="pct"/>
            <w:vAlign w:val="center"/>
          </w:tcPr>
          <w:p w14:paraId="54F2EA0F" w14:textId="1801678C" w:rsidR="00DD722B" w:rsidRPr="000456B9" w:rsidRDefault="00DD722B" w:rsidP="00E373CA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204</w:t>
            </w:r>
          </w:p>
        </w:tc>
        <w:tc>
          <w:tcPr>
            <w:tcW w:w="1070" w:type="pct"/>
            <w:vAlign w:val="center"/>
          </w:tcPr>
          <w:p w14:paraId="6B38C3AA" w14:textId="37CAA247" w:rsidR="00DD722B" w:rsidRPr="00404A9B" w:rsidRDefault="00B55D6A" w:rsidP="00E373CA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20%</w:t>
            </w:r>
          </w:p>
        </w:tc>
        <w:tc>
          <w:tcPr>
            <w:tcW w:w="1070" w:type="pct"/>
            <w:vAlign w:val="center"/>
          </w:tcPr>
          <w:p w14:paraId="060A1EBD" w14:textId="13923645" w:rsidR="00DD722B" w:rsidRPr="000456B9" w:rsidRDefault="00DD722B" w:rsidP="00E373CA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04A9B">
              <w:t>14%</w:t>
            </w:r>
          </w:p>
        </w:tc>
      </w:tr>
      <w:tr w:rsidR="00DD722B" w14:paraId="306E55C1" w14:textId="77777777" w:rsidTr="00E703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  <w:vAlign w:val="center"/>
          </w:tcPr>
          <w:p w14:paraId="4EB60F16" w14:textId="16D89B34" w:rsidR="00DD722B" w:rsidRPr="00C92BE4" w:rsidRDefault="00DD722B" w:rsidP="00E373CA">
            <w:pPr>
              <w:keepNext/>
              <w:keepLines/>
              <w:spacing w:after="0" w:line="280" w:lineRule="exact"/>
              <w:jc w:val="left"/>
            </w:pPr>
            <w:r>
              <w:t>Water-saving measures</w:t>
            </w:r>
            <w:r w:rsidR="005A5E5A">
              <w:rPr>
                <w:vertAlign w:val="superscript"/>
              </w:rPr>
              <w:t>2</w:t>
            </w:r>
          </w:p>
        </w:tc>
        <w:tc>
          <w:tcPr>
            <w:tcW w:w="841" w:type="pct"/>
            <w:vAlign w:val="center"/>
          </w:tcPr>
          <w:p w14:paraId="396D9636" w14:textId="5406181A" w:rsidR="00DD722B" w:rsidRPr="000456B9" w:rsidRDefault="00DD722B" w:rsidP="00E373CA">
            <w:pPr>
              <w:keepNext/>
              <w:keepLines/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191</w:t>
            </w:r>
          </w:p>
        </w:tc>
        <w:tc>
          <w:tcPr>
            <w:tcW w:w="1070" w:type="pct"/>
            <w:vAlign w:val="center"/>
          </w:tcPr>
          <w:p w14:paraId="33B940A0" w14:textId="606099E6" w:rsidR="00DD722B" w:rsidRPr="00473848" w:rsidRDefault="00630BFF" w:rsidP="00E373CA">
            <w:pPr>
              <w:keepNext/>
              <w:keepLines/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20%</w:t>
            </w:r>
          </w:p>
        </w:tc>
        <w:tc>
          <w:tcPr>
            <w:tcW w:w="1070" w:type="pct"/>
            <w:vAlign w:val="center"/>
          </w:tcPr>
          <w:p w14:paraId="3C285994" w14:textId="4A6F87CB" w:rsidR="00DD722B" w:rsidRPr="000456B9" w:rsidRDefault="00DD722B" w:rsidP="00E373CA">
            <w:pPr>
              <w:keepNext/>
              <w:keepLines/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3848">
              <w:t>20%</w:t>
            </w:r>
          </w:p>
        </w:tc>
      </w:tr>
      <w:tr w:rsidR="00DD722B" w14:paraId="1330BE24" w14:textId="77777777" w:rsidTr="00E703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  <w:vAlign w:val="center"/>
          </w:tcPr>
          <w:p w14:paraId="13DC9858" w14:textId="7C340001" w:rsidR="00DD722B" w:rsidRPr="00C92BE4" w:rsidRDefault="00DD722B" w:rsidP="00E373CA">
            <w:pPr>
              <w:keepNext/>
              <w:keepLines/>
              <w:spacing w:after="0" w:line="280" w:lineRule="exact"/>
              <w:jc w:val="left"/>
            </w:pPr>
            <w:r>
              <w:t xml:space="preserve">Blower-door-guided air sealing </w:t>
            </w:r>
          </w:p>
        </w:tc>
        <w:tc>
          <w:tcPr>
            <w:tcW w:w="841" w:type="pct"/>
            <w:vAlign w:val="center"/>
          </w:tcPr>
          <w:p w14:paraId="10CD2989" w14:textId="70876AC5" w:rsidR="00DD722B" w:rsidRPr="000456B9" w:rsidRDefault="00DD722B" w:rsidP="00E373CA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107</w:t>
            </w:r>
          </w:p>
        </w:tc>
        <w:tc>
          <w:tcPr>
            <w:tcW w:w="1070" w:type="pct"/>
            <w:vAlign w:val="center"/>
          </w:tcPr>
          <w:p w14:paraId="53F84190" w14:textId="7811346B" w:rsidR="00DD722B" w:rsidRPr="00FB353C" w:rsidRDefault="0013406B" w:rsidP="00E373CA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13%</w:t>
            </w:r>
          </w:p>
        </w:tc>
        <w:tc>
          <w:tcPr>
            <w:tcW w:w="1070" w:type="pct"/>
            <w:vAlign w:val="center"/>
          </w:tcPr>
          <w:p w14:paraId="29BF1DC6" w14:textId="54E44357" w:rsidR="00DD722B" w:rsidRPr="000456B9" w:rsidRDefault="00DD722B" w:rsidP="00E373CA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B353C">
              <w:t>11%</w:t>
            </w:r>
          </w:p>
        </w:tc>
      </w:tr>
      <w:tr w:rsidR="00DD722B" w14:paraId="05361FC1" w14:textId="77777777" w:rsidTr="00E703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  <w:vAlign w:val="center"/>
          </w:tcPr>
          <w:p w14:paraId="4FFB37F4" w14:textId="71F1230B" w:rsidR="00DD722B" w:rsidRPr="00C92BE4" w:rsidRDefault="00DD722B" w:rsidP="00E373CA">
            <w:pPr>
              <w:keepNext/>
              <w:keepLines/>
              <w:spacing w:after="0" w:line="280" w:lineRule="exact"/>
              <w:jc w:val="left"/>
            </w:pPr>
            <w:r>
              <w:t>Pipe/tank insulation</w:t>
            </w:r>
          </w:p>
        </w:tc>
        <w:tc>
          <w:tcPr>
            <w:tcW w:w="841" w:type="pct"/>
            <w:vAlign w:val="center"/>
          </w:tcPr>
          <w:p w14:paraId="739E736A" w14:textId="32032CEB" w:rsidR="00DD722B" w:rsidRPr="000456B9" w:rsidRDefault="00DD722B" w:rsidP="00E373CA">
            <w:pPr>
              <w:keepNext/>
              <w:keepLines/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82</w:t>
            </w:r>
          </w:p>
        </w:tc>
        <w:tc>
          <w:tcPr>
            <w:tcW w:w="1070" w:type="pct"/>
            <w:vAlign w:val="center"/>
          </w:tcPr>
          <w:p w14:paraId="3A6FCFD3" w14:textId="589D50B9" w:rsidR="00DD722B" w:rsidRPr="00FB353C" w:rsidRDefault="00025F78" w:rsidP="00E373CA">
            <w:pPr>
              <w:keepNext/>
              <w:keepLines/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28%</w:t>
            </w:r>
          </w:p>
        </w:tc>
        <w:tc>
          <w:tcPr>
            <w:tcW w:w="1070" w:type="pct"/>
            <w:vAlign w:val="center"/>
          </w:tcPr>
          <w:p w14:paraId="20BE994E" w14:textId="24F73317" w:rsidR="00DD722B" w:rsidRPr="000456B9" w:rsidRDefault="00DD722B" w:rsidP="00E373CA">
            <w:pPr>
              <w:keepNext/>
              <w:keepLines/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53C">
              <w:t>28%</w:t>
            </w:r>
          </w:p>
        </w:tc>
      </w:tr>
      <w:tr w:rsidR="00DD722B" w14:paraId="4C45566D" w14:textId="77777777" w:rsidTr="00E703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  <w:vAlign w:val="center"/>
          </w:tcPr>
          <w:p w14:paraId="086CD87A" w14:textId="32CED63B" w:rsidR="00DD722B" w:rsidRPr="00C92BE4" w:rsidRDefault="00DD722B" w:rsidP="00E373CA">
            <w:pPr>
              <w:keepNext/>
              <w:keepLines/>
              <w:spacing w:after="0" w:line="280" w:lineRule="exact"/>
              <w:jc w:val="left"/>
            </w:pPr>
            <w:r>
              <w:t>LEDs</w:t>
            </w:r>
          </w:p>
        </w:tc>
        <w:tc>
          <w:tcPr>
            <w:tcW w:w="841" w:type="pct"/>
            <w:vAlign w:val="center"/>
          </w:tcPr>
          <w:p w14:paraId="52B97DFC" w14:textId="0DEB03B7" w:rsidR="00DD722B" w:rsidRPr="000456B9" w:rsidRDefault="00DD722B" w:rsidP="00E373CA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80</w:t>
            </w:r>
          </w:p>
        </w:tc>
        <w:tc>
          <w:tcPr>
            <w:tcW w:w="1070" w:type="pct"/>
            <w:vAlign w:val="center"/>
          </w:tcPr>
          <w:p w14:paraId="5892FCFD" w14:textId="109663EF" w:rsidR="00DD722B" w:rsidRPr="00FB353C" w:rsidRDefault="00025F78" w:rsidP="00E373CA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41%</w:t>
            </w:r>
          </w:p>
        </w:tc>
        <w:tc>
          <w:tcPr>
            <w:tcW w:w="1070" w:type="pct"/>
            <w:vAlign w:val="center"/>
          </w:tcPr>
          <w:p w14:paraId="31231932" w14:textId="2D275274" w:rsidR="00DD722B" w:rsidRPr="000456B9" w:rsidRDefault="00DD722B" w:rsidP="00E373CA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B353C">
              <w:t>36%</w:t>
            </w:r>
          </w:p>
        </w:tc>
      </w:tr>
      <w:tr w:rsidR="00631B2B" w14:paraId="2343D117" w14:textId="77777777" w:rsidTr="00D378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14:paraId="22EAC2E7" w14:textId="05F218C2" w:rsidR="00F231C8" w:rsidRPr="00FB353C" w:rsidRDefault="0061164A" w:rsidP="007E7434">
            <w:pPr>
              <w:keepNext/>
              <w:keepLines/>
              <w:spacing w:after="0" w:line="240" w:lineRule="auto"/>
              <w:jc w:val="left"/>
            </w:pPr>
            <w:r w:rsidRPr="0061164A">
              <w:rPr>
                <w:sz w:val="18"/>
                <w:szCs w:val="18"/>
                <w:vertAlign w:val="superscript"/>
              </w:rPr>
              <w:t xml:space="preserve">1 </w:t>
            </w:r>
            <w:r w:rsidRPr="0061164A">
              <w:rPr>
                <w:sz w:val="18"/>
                <w:szCs w:val="18"/>
              </w:rPr>
              <w:t xml:space="preserve">Unweighted </w:t>
            </w:r>
            <w:r>
              <w:rPr>
                <w:sz w:val="18"/>
                <w:szCs w:val="18"/>
              </w:rPr>
              <w:t xml:space="preserve">due </w:t>
            </w:r>
            <w:r w:rsidR="004B61C0">
              <w:rPr>
                <w:sz w:val="18"/>
                <w:szCs w:val="18"/>
              </w:rPr>
              <w:t>to lack of savings for this measure in program data</w:t>
            </w:r>
            <w:r w:rsidR="002E1444">
              <w:rPr>
                <w:sz w:val="18"/>
                <w:szCs w:val="18"/>
              </w:rPr>
              <w:t>;</w:t>
            </w:r>
            <w:r w:rsidR="00760757">
              <w:rPr>
                <w:sz w:val="18"/>
                <w:szCs w:val="18"/>
              </w:rPr>
              <w:t xml:space="preserve"> </w:t>
            </w:r>
            <w:r w:rsidR="00E70382">
              <w:rPr>
                <w:sz w:val="18"/>
                <w:szCs w:val="18"/>
              </w:rPr>
              <w:t>savin</w:t>
            </w:r>
            <w:r w:rsidR="00C9083D">
              <w:rPr>
                <w:sz w:val="18"/>
                <w:szCs w:val="18"/>
              </w:rPr>
              <w:t xml:space="preserve">gs for door and/or window weatherization measures </w:t>
            </w:r>
            <w:r w:rsidR="00904644">
              <w:rPr>
                <w:sz w:val="18"/>
                <w:szCs w:val="18"/>
              </w:rPr>
              <w:t>were presumed to be included with air sealing savings.</w:t>
            </w:r>
            <w:r w:rsidR="005A5E5A">
              <w:rPr>
                <w:sz w:val="18"/>
                <w:szCs w:val="18"/>
              </w:rPr>
              <w:br/>
            </w:r>
            <w:r w:rsidR="005A5E5A">
              <w:rPr>
                <w:sz w:val="18"/>
                <w:szCs w:val="18"/>
                <w:vertAlign w:val="superscript"/>
              </w:rPr>
              <w:t>2</w:t>
            </w:r>
            <w:r w:rsidR="005A5E5A">
              <w:rPr>
                <w:sz w:val="18"/>
                <w:szCs w:val="18"/>
              </w:rPr>
              <w:t xml:space="preserve"> </w:t>
            </w:r>
            <w:r w:rsidR="005A5E5A" w:rsidRPr="005A5E5A">
              <w:rPr>
                <w:sz w:val="18"/>
                <w:szCs w:val="18"/>
              </w:rPr>
              <w:t>For consistency with the previous study, we consolidate water-saving aerators and showerheads into a single “Water-saving measure” category.</w:t>
            </w:r>
          </w:p>
        </w:tc>
      </w:tr>
    </w:tbl>
    <w:p w14:paraId="22B0E6A0" w14:textId="2D4CEDF9" w:rsidR="001E55EE" w:rsidRDefault="00440CEE" w:rsidP="00904644">
      <w:pPr>
        <w:pStyle w:val="Normalaftertable"/>
      </w:pPr>
      <w:r w:rsidRPr="00B13851">
        <w:rPr>
          <w:rStyle w:val="CrossRefChar"/>
        </w:rPr>
        <w:fldChar w:fldCharType="begin"/>
      </w:r>
      <w:r w:rsidRPr="00B13851">
        <w:rPr>
          <w:rStyle w:val="CrossRefChar"/>
        </w:rPr>
        <w:instrText xml:space="preserve"> REF _Ref106048509 \h </w:instrText>
      </w:r>
      <w:r w:rsidR="00B13851">
        <w:rPr>
          <w:rStyle w:val="CrossRefChar"/>
        </w:rPr>
        <w:instrText xml:space="preserve"> \* MERGEFORMAT </w:instrText>
      </w:r>
      <w:r w:rsidRPr="00B13851">
        <w:rPr>
          <w:rStyle w:val="CrossRefChar"/>
        </w:rPr>
      </w:r>
      <w:r w:rsidRPr="00B13851">
        <w:rPr>
          <w:rStyle w:val="CrossRefChar"/>
        </w:rPr>
        <w:fldChar w:fldCharType="separate"/>
      </w:r>
      <w:r w:rsidR="00630DA0" w:rsidRPr="00630DA0">
        <w:rPr>
          <w:rStyle w:val="CrossRefChar"/>
        </w:rPr>
        <w:t>Table 3</w:t>
      </w:r>
      <w:r w:rsidRPr="00B13851">
        <w:rPr>
          <w:rStyle w:val="CrossRefChar"/>
        </w:rPr>
        <w:fldChar w:fldCharType="end"/>
      </w:r>
      <w:r>
        <w:t xml:space="preserve"> shows free</w:t>
      </w:r>
      <w:r w:rsidR="00A03500">
        <w:t>-</w:t>
      </w:r>
      <w:r>
        <w:t xml:space="preserve">ridership </w:t>
      </w:r>
      <w:r w:rsidR="007E0865">
        <w:t xml:space="preserve">rates for four add-on measures: insulation, smart thermostats, windows, and central air conditioners. </w:t>
      </w:r>
    </w:p>
    <w:p w14:paraId="473BF11A" w14:textId="33AC8E4A" w:rsidR="00A22DC3" w:rsidRDefault="00A22DC3" w:rsidP="00A22DC3">
      <w:pPr>
        <w:pStyle w:val="Caption"/>
      </w:pPr>
      <w:bookmarkStart w:id="3" w:name="_Ref106048509"/>
      <w:r>
        <w:t xml:space="preserve">Table </w:t>
      </w:r>
      <w:r w:rsidR="00EE337D">
        <w:fldChar w:fldCharType="begin"/>
      </w:r>
      <w:r w:rsidR="00EE337D">
        <w:instrText xml:space="preserve"> SEQ Table \* ARABIC </w:instrText>
      </w:r>
      <w:r w:rsidR="00EE337D">
        <w:fldChar w:fldCharType="separate"/>
      </w:r>
      <w:r w:rsidR="0022173A">
        <w:rPr>
          <w:noProof/>
        </w:rPr>
        <w:t>4</w:t>
      </w:r>
      <w:r w:rsidR="00EE337D">
        <w:rPr>
          <w:noProof/>
        </w:rPr>
        <w:fldChar w:fldCharType="end"/>
      </w:r>
      <w:bookmarkEnd w:id="3"/>
      <w:r>
        <w:t xml:space="preserve">: </w:t>
      </w:r>
      <w:proofErr w:type="spellStart"/>
      <w:r>
        <w:t>HES</w:t>
      </w:r>
      <w:proofErr w:type="spellEnd"/>
      <w:r>
        <w:t xml:space="preserve"> </w:t>
      </w:r>
      <w:r w:rsidR="00440CEE">
        <w:t>Free</w:t>
      </w:r>
      <w:r w:rsidR="00A03500">
        <w:t>-</w:t>
      </w:r>
      <w:r w:rsidR="00440CEE">
        <w:t>Ridership – Additional Measures</w:t>
      </w:r>
    </w:p>
    <w:tbl>
      <w:tblPr>
        <w:tblStyle w:val="BodyEven"/>
        <w:tblW w:w="5000" w:type="pct"/>
        <w:tblLook w:val="04A0" w:firstRow="1" w:lastRow="0" w:firstColumn="1" w:lastColumn="0" w:noHBand="0" w:noVBand="1"/>
      </w:tblPr>
      <w:tblGrid>
        <w:gridCol w:w="3351"/>
        <w:gridCol w:w="2003"/>
        <w:gridCol w:w="2003"/>
        <w:gridCol w:w="2003"/>
      </w:tblGrid>
      <w:tr w:rsidR="00DD722B" w14:paraId="7498FF20" w14:textId="77777777" w:rsidTr="00DD72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pct"/>
            <w:vAlign w:val="center"/>
          </w:tcPr>
          <w:p w14:paraId="772A877B" w14:textId="77777777" w:rsidR="00DD722B" w:rsidRPr="00125651" w:rsidRDefault="00DD722B" w:rsidP="00A4000A">
            <w:pPr>
              <w:keepNext/>
              <w:keepLines/>
              <w:spacing w:after="0" w:line="280" w:lineRule="exact"/>
              <w:jc w:val="left"/>
              <w:rPr>
                <w:bCs/>
              </w:rPr>
            </w:pPr>
            <w:r w:rsidRPr="00125651">
              <w:rPr>
                <w:bCs/>
              </w:rPr>
              <w:t>Measure</w:t>
            </w:r>
          </w:p>
        </w:tc>
        <w:tc>
          <w:tcPr>
            <w:tcW w:w="1070" w:type="pct"/>
            <w:vAlign w:val="center"/>
          </w:tcPr>
          <w:p w14:paraId="359C770A" w14:textId="77777777" w:rsidR="00DD722B" w:rsidRPr="009E4237" w:rsidRDefault="00DD722B" w:rsidP="00A4000A">
            <w:pPr>
              <w:keepNext/>
              <w:keepLines/>
              <w:spacing w:after="0"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1070" w:type="pct"/>
            <w:vAlign w:val="center"/>
          </w:tcPr>
          <w:p w14:paraId="6B2D359C" w14:textId="14CBBD97" w:rsidR="00DD722B" w:rsidRDefault="00DD722B" w:rsidP="00DD722B">
            <w:pPr>
              <w:keepNext/>
              <w:keepLines/>
              <w:spacing w:after="0"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Unweighted FR</w:t>
            </w:r>
          </w:p>
        </w:tc>
        <w:tc>
          <w:tcPr>
            <w:tcW w:w="1070" w:type="pct"/>
            <w:vAlign w:val="center"/>
          </w:tcPr>
          <w:p w14:paraId="4E8F9020" w14:textId="66A5FF35" w:rsidR="00DD722B" w:rsidRPr="009E4237" w:rsidRDefault="00DD722B" w:rsidP="00A4000A">
            <w:pPr>
              <w:keepNext/>
              <w:keepLines/>
              <w:spacing w:after="0"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Savings-Weighted FR</w:t>
            </w:r>
          </w:p>
        </w:tc>
      </w:tr>
      <w:tr w:rsidR="00DD722B" w14:paraId="33AA8658" w14:textId="77777777" w:rsidTr="00EB50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pct"/>
            <w:vAlign w:val="center"/>
          </w:tcPr>
          <w:p w14:paraId="2C807739" w14:textId="44CB8CCA" w:rsidR="00DD722B" w:rsidRPr="00DE01D0" w:rsidRDefault="00DD722B" w:rsidP="00A4000A">
            <w:pPr>
              <w:keepNext/>
              <w:keepLines/>
              <w:spacing w:after="0" w:line="280" w:lineRule="exact"/>
              <w:jc w:val="left"/>
            </w:pPr>
            <w:r w:rsidRPr="00DE01D0">
              <w:t>Insulation</w:t>
            </w:r>
          </w:p>
        </w:tc>
        <w:tc>
          <w:tcPr>
            <w:tcW w:w="1070" w:type="pct"/>
            <w:vAlign w:val="center"/>
          </w:tcPr>
          <w:p w14:paraId="576A7E47" w14:textId="3B7D722A" w:rsidR="00DD722B" w:rsidRPr="000456B9" w:rsidRDefault="00DD722B" w:rsidP="00A4000A">
            <w:pPr>
              <w:keepNext/>
              <w:keepLines/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</w:t>
            </w:r>
          </w:p>
        </w:tc>
        <w:tc>
          <w:tcPr>
            <w:tcW w:w="1070" w:type="pct"/>
            <w:vAlign w:val="center"/>
          </w:tcPr>
          <w:p w14:paraId="0B1EE269" w14:textId="711A597B" w:rsidR="00DD722B" w:rsidRPr="009D1CF3" w:rsidRDefault="00025F78" w:rsidP="00EB5086">
            <w:pPr>
              <w:keepNext/>
              <w:keepLines/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23%</w:t>
            </w:r>
          </w:p>
        </w:tc>
        <w:tc>
          <w:tcPr>
            <w:tcW w:w="1070" w:type="pct"/>
          </w:tcPr>
          <w:p w14:paraId="2B7B48F4" w14:textId="7BD3E5AC" w:rsidR="00DD722B" w:rsidRPr="000456B9" w:rsidRDefault="00DD722B" w:rsidP="00A4000A">
            <w:pPr>
              <w:keepNext/>
              <w:keepLines/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1CF3">
              <w:t>23%</w:t>
            </w:r>
          </w:p>
        </w:tc>
      </w:tr>
      <w:tr w:rsidR="00DD722B" w14:paraId="529D1856" w14:textId="77777777" w:rsidTr="00EB50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pct"/>
            <w:vAlign w:val="center"/>
          </w:tcPr>
          <w:p w14:paraId="2FF09F4F" w14:textId="5B7F47AA" w:rsidR="00DD722B" w:rsidRPr="00DE01D0" w:rsidRDefault="00DD722B" w:rsidP="00A4000A">
            <w:pPr>
              <w:keepNext/>
              <w:keepLines/>
              <w:spacing w:after="0" w:line="280" w:lineRule="exact"/>
              <w:jc w:val="left"/>
            </w:pPr>
            <w:r w:rsidRPr="00DE01D0">
              <w:t>Smart thermostat</w:t>
            </w:r>
          </w:p>
        </w:tc>
        <w:tc>
          <w:tcPr>
            <w:tcW w:w="1070" w:type="pct"/>
            <w:vAlign w:val="center"/>
          </w:tcPr>
          <w:p w14:paraId="3D1C5C29" w14:textId="3E87EEBA" w:rsidR="00DD722B" w:rsidRPr="000456B9" w:rsidRDefault="00DD722B" w:rsidP="00A4000A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153</w:t>
            </w:r>
          </w:p>
        </w:tc>
        <w:tc>
          <w:tcPr>
            <w:tcW w:w="1070" w:type="pct"/>
            <w:vAlign w:val="center"/>
          </w:tcPr>
          <w:p w14:paraId="2121B8CC" w14:textId="5BC0D7A1" w:rsidR="00DD722B" w:rsidRPr="009D1CF3" w:rsidRDefault="0011407B" w:rsidP="00EB5086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33%</w:t>
            </w:r>
          </w:p>
        </w:tc>
        <w:tc>
          <w:tcPr>
            <w:tcW w:w="1070" w:type="pct"/>
          </w:tcPr>
          <w:p w14:paraId="04086F29" w14:textId="6AF70257" w:rsidR="00DD722B" w:rsidRPr="000456B9" w:rsidRDefault="00DD722B" w:rsidP="00A4000A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D1CF3">
              <w:t>34%</w:t>
            </w:r>
          </w:p>
        </w:tc>
      </w:tr>
      <w:tr w:rsidR="00DD722B" w14:paraId="3EE52067" w14:textId="77777777" w:rsidTr="00EB50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pct"/>
            <w:vAlign w:val="center"/>
          </w:tcPr>
          <w:p w14:paraId="6FBB8E08" w14:textId="1A2CB984" w:rsidR="00DD722B" w:rsidRPr="00DE01D0" w:rsidRDefault="00DD722B" w:rsidP="00A4000A">
            <w:pPr>
              <w:keepNext/>
              <w:keepLines/>
              <w:spacing w:after="0" w:line="280" w:lineRule="exact"/>
              <w:jc w:val="left"/>
            </w:pPr>
            <w:r w:rsidRPr="00DE01D0">
              <w:t>Windows</w:t>
            </w:r>
          </w:p>
        </w:tc>
        <w:tc>
          <w:tcPr>
            <w:tcW w:w="1070" w:type="pct"/>
            <w:vAlign w:val="center"/>
          </w:tcPr>
          <w:p w14:paraId="0944AD3D" w14:textId="487819B1" w:rsidR="00DD722B" w:rsidRPr="000456B9" w:rsidRDefault="00DD722B" w:rsidP="00A4000A">
            <w:pPr>
              <w:keepNext/>
              <w:keepLines/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</w:t>
            </w:r>
          </w:p>
        </w:tc>
        <w:tc>
          <w:tcPr>
            <w:tcW w:w="1070" w:type="pct"/>
            <w:vAlign w:val="center"/>
          </w:tcPr>
          <w:p w14:paraId="3DB1C874" w14:textId="66DC629F" w:rsidR="00DD722B" w:rsidRPr="00A61141" w:rsidRDefault="006B3793" w:rsidP="00EB5086">
            <w:pPr>
              <w:keepNext/>
              <w:keepLines/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30%</w:t>
            </w:r>
          </w:p>
        </w:tc>
        <w:tc>
          <w:tcPr>
            <w:tcW w:w="1070" w:type="pct"/>
            <w:vAlign w:val="center"/>
          </w:tcPr>
          <w:p w14:paraId="2AB6B908" w14:textId="0F9AB8D7" w:rsidR="00DD722B" w:rsidRPr="000456B9" w:rsidRDefault="00DD722B" w:rsidP="00A4000A">
            <w:pPr>
              <w:keepNext/>
              <w:keepLines/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1141">
              <w:t>33%</w:t>
            </w:r>
          </w:p>
        </w:tc>
      </w:tr>
      <w:tr w:rsidR="00DD722B" w14:paraId="30BC756E" w14:textId="77777777" w:rsidTr="00EB50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pct"/>
            <w:vAlign w:val="center"/>
          </w:tcPr>
          <w:p w14:paraId="7718E79B" w14:textId="32DB81A7" w:rsidR="00DD722B" w:rsidRPr="00DE01D0" w:rsidRDefault="00DD722B" w:rsidP="00A4000A">
            <w:pPr>
              <w:keepNext/>
              <w:keepLines/>
              <w:spacing w:after="0" w:line="280" w:lineRule="exact"/>
              <w:jc w:val="left"/>
            </w:pPr>
            <w:r w:rsidRPr="00DE01D0">
              <w:t>Central AC</w:t>
            </w:r>
          </w:p>
        </w:tc>
        <w:tc>
          <w:tcPr>
            <w:tcW w:w="1070" w:type="pct"/>
            <w:vAlign w:val="center"/>
          </w:tcPr>
          <w:p w14:paraId="117A1D7F" w14:textId="2A0A34BC" w:rsidR="00DD722B" w:rsidRPr="000456B9" w:rsidRDefault="00DD722B" w:rsidP="00A4000A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1070" w:type="pct"/>
            <w:vAlign w:val="center"/>
          </w:tcPr>
          <w:p w14:paraId="681C9D53" w14:textId="45B6FD1E" w:rsidR="00DD722B" w:rsidRPr="00A61141" w:rsidRDefault="00BA05D0" w:rsidP="00EB5086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44%</w:t>
            </w:r>
          </w:p>
        </w:tc>
        <w:tc>
          <w:tcPr>
            <w:tcW w:w="1070" w:type="pct"/>
          </w:tcPr>
          <w:p w14:paraId="14CA521A" w14:textId="71A1D2B0" w:rsidR="00DD722B" w:rsidRPr="000456B9" w:rsidRDefault="00DD722B" w:rsidP="00A4000A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61141">
              <w:t>38%</w:t>
            </w:r>
          </w:p>
        </w:tc>
      </w:tr>
    </w:tbl>
    <w:p w14:paraId="64FFBB23" w14:textId="77777777" w:rsidR="005805EF" w:rsidRDefault="005805EF" w:rsidP="001E55EE"/>
    <w:p w14:paraId="7B6F8CEA" w14:textId="429FF46F" w:rsidR="001C1BB2" w:rsidRDefault="00EE0A17" w:rsidP="001C1BB2">
      <w:r w:rsidRPr="00367A2A">
        <w:rPr>
          <w:rStyle w:val="CrossRefChar"/>
        </w:rPr>
        <w:fldChar w:fldCharType="begin"/>
      </w:r>
      <w:r w:rsidRPr="00367A2A">
        <w:rPr>
          <w:rStyle w:val="CrossRefChar"/>
        </w:rPr>
        <w:instrText xml:space="preserve"> REF _Ref106047425 \h </w:instrText>
      </w:r>
      <w:r w:rsidR="00367A2A">
        <w:rPr>
          <w:rStyle w:val="CrossRefChar"/>
        </w:rPr>
        <w:instrText xml:space="preserve"> \* MERGEFORMAT </w:instrText>
      </w:r>
      <w:r w:rsidRPr="00367A2A">
        <w:rPr>
          <w:rStyle w:val="CrossRefChar"/>
        </w:rPr>
      </w:r>
      <w:r w:rsidRPr="00367A2A">
        <w:rPr>
          <w:rStyle w:val="CrossRefChar"/>
        </w:rPr>
        <w:fldChar w:fldCharType="separate"/>
      </w:r>
      <w:r w:rsidR="00630DA0" w:rsidRPr="00630DA0">
        <w:rPr>
          <w:rStyle w:val="CrossRefChar"/>
        </w:rPr>
        <w:t>Table 4</w:t>
      </w:r>
      <w:r w:rsidRPr="00367A2A">
        <w:rPr>
          <w:rStyle w:val="CrossRefChar"/>
        </w:rPr>
        <w:fldChar w:fldCharType="end"/>
      </w:r>
      <w:r>
        <w:t xml:space="preserve"> </w:t>
      </w:r>
      <w:r w:rsidR="001C1BB2">
        <w:t>shows savings-weighted free</w:t>
      </w:r>
      <w:r w:rsidR="00A03500">
        <w:t>-</w:t>
      </w:r>
      <w:r w:rsidR="001C1BB2">
        <w:t xml:space="preserve">ridership rate for </w:t>
      </w:r>
      <w:r w:rsidR="00DF081C">
        <w:t>rebated heat pumps</w:t>
      </w:r>
      <w:r w:rsidR="001C1BB2">
        <w:t xml:space="preserve"> installed by HES participants. As </w:t>
      </w:r>
      <w:r w:rsidR="001E098B">
        <w:t>heat pumps</w:t>
      </w:r>
      <w:r w:rsidR="001C1BB2">
        <w:t xml:space="preserve"> had a relatively low incidence among the population, we show free</w:t>
      </w:r>
      <w:r w:rsidR="004502B4">
        <w:t>-</w:t>
      </w:r>
      <w:r w:rsidR="001C1BB2">
        <w:t xml:space="preserve">ridership rates by </w:t>
      </w:r>
      <w:r w:rsidR="001E098B">
        <w:t>type of heat pump</w:t>
      </w:r>
      <w:r w:rsidR="001C1BB2">
        <w:t xml:space="preserve"> </w:t>
      </w:r>
      <w:r w:rsidR="001A11C0">
        <w:t>(37%</w:t>
      </w:r>
      <w:r w:rsidR="00BB661D">
        <w:t xml:space="preserve"> to </w:t>
      </w:r>
      <w:r w:rsidR="001A11C0">
        <w:t>47%)</w:t>
      </w:r>
      <w:r w:rsidR="001C1BB2">
        <w:t xml:space="preserve"> and overall (</w:t>
      </w:r>
      <w:r w:rsidR="00514336">
        <w:t>38</w:t>
      </w:r>
      <w:r w:rsidR="001C1BB2">
        <w:t xml:space="preserve">%). </w:t>
      </w:r>
      <w:r w:rsidR="00D70B6B">
        <w:t>The NMR team recommends using the overall heat pump value of 38%, given low sample sizes for individual heat pump types.</w:t>
      </w:r>
    </w:p>
    <w:p w14:paraId="70DB0B53" w14:textId="7DC25876" w:rsidR="001C1BB2" w:rsidRDefault="001C1BB2" w:rsidP="001C1BB2">
      <w:pPr>
        <w:pStyle w:val="Caption"/>
      </w:pPr>
      <w:bookmarkStart w:id="4" w:name="_Ref106047425"/>
      <w:r>
        <w:t xml:space="preserve">Table </w:t>
      </w:r>
      <w:r w:rsidR="00EE337D">
        <w:fldChar w:fldCharType="begin"/>
      </w:r>
      <w:r w:rsidR="00EE337D">
        <w:instrText xml:space="preserve"> SEQ Table \* ARABIC </w:instrText>
      </w:r>
      <w:r w:rsidR="00EE337D">
        <w:fldChar w:fldCharType="separate"/>
      </w:r>
      <w:r w:rsidR="0022173A">
        <w:rPr>
          <w:noProof/>
        </w:rPr>
        <w:t>5</w:t>
      </w:r>
      <w:r w:rsidR="00EE337D">
        <w:rPr>
          <w:noProof/>
        </w:rPr>
        <w:fldChar w:fldCharType="end"/>
      </w:r>
      <w:bookmarkEnd w:id="4"/>
      <w:r>
        <w:t xml:space="preserve">: </w:t>
      </w:r>
      <w:proofErr w:type="spellStart"/>
      <w:r>
        <w:t>HES</w:t>
      </w:r>
      <w:proofErr w:type="spellEnd"/>
      <w:r>
        <w:t xml:space="preserve"> Heat Pump Free Ridership</w:t>
      </w:r>
    </w:p>
    <w:tbl>
      <w:tblPr>
        <w:tblStyle w:val="BodyEven"/>
        <w:tblW w:w="5000" w:type="pct"/>
        <w:tblLook w:val="04A0" w:firstRow="1" w:lastRow="0" w:firstColumn="1" w:lastColumn="0" w:noHBand="0" w:noVBand="1"/>
      </w:tblPr>
      <w:tblGrid>
        <w:gridCol w:w="3351"/>
        <w:gridCol w:w="2003"/>
        <w:gridCol w:w="2003"/>
        <w:gridCol w:w="2003"/>
      </w:tblGrid>
      <w:tr w:rsidR="00DD722B" w14:paraId="33C53B61" w14:textId="77777777" w:rsidTr="00DD72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pct"/>
            <w:vAlign w:val="center"/>
          </w:tcPr>
          <w:p w14:paraId="5E802F35" w14:textId="6B1A5E0A" w:rsidR="00DD722B" w:rsidRPr="00125651" w:rsidRDefault="00DD722B" w:rsidP="00EE0A17">
            <w:pPr>
              <w:keepNext/>
              <w:keepLines/>
              <w:spacing w:after="0" w:line="280" w:lineRule="exact"/>
              <w:jc w:val="left"/>
              <w:rPr>
                <w:bCs/>
              </w:rPr>
            </w:pPr>
            <w:r>
              <w:rPr>
                <w:bCs/>
              </w:rPr>
              <w:t>Heat Pump Type</w:t>
            </w:r>
          </w:p>
        </w:tc>
        <w:tc>
          <w:tcPr>
            <w:tcW w:w="1070" w:type="pct"/>
            <w:vAlign w:val="center"/>
          </w:tcPr>
          <w:p w14:paraId="769FE150" w14:textId="77777777" w:rsidR="00DD722B" w:rsidRPr="009E4237" w:rsidRDefault="00DD722B" w:rsidP="00EE0A17">
            <w:pPr>
              <w:keepNext/>
              <w:keepLines/>
              <w:spacing w:after="0"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1070" w:type="pct"/>
            <w:vAlign w:val="center"/>
          </w:tcPr>
          <w:p w14:paraId="616BF19E" w14:textId="2075E944" w:rsidR="00DD722B" w:rsidRDefault="00DD722B" w:rsidP="00DD722B">
            <w:pPr>
              <w:keepNext/>
              <w:keepLines/>
              <w:spacing w:after="0"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Unweighted FR</w:t>
            </w:r>
          </w:p>
        </w:tc>
        <w:tc>
          <w:tcPr>
            <w:tcW w:w="1070" w:type="pct"/>
            <w:vAlign w:val="center"/>
          </w:tcPr>
          <w:p w14:paraId="6E93B64B" w14:textId="75D4025F" w:rsidR="00DD722B" w:rsidRPr="009E4237" w:rsidRDefault="00DD722B" w:rsidP="00EE0A17">
            <w:pPr>
              <w:keepNext/>
              <w:keepLines/>
              <w:spacing w:after="0"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Savings-Weighted FR</w:t>
            </w:r>
          </w:p>
        </w:tc>
      </w:tr>
      <w:tr w:rsidR="00DD722B" w14:paraId="2A837ADC" w14:textId="77777777" w:rsidTr="00EB50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pct"/>
            <w:vAlign w:val="center"/>
          </w:tcPr>
          <w:p w14:paraId="3083D3E0" w14:textId="6F66694D" w:rsidR="00DD722B" w:rsidRPr="00C92BE4" w:rsidRDefault="00DD722B" w:rsidP="00EE0A17">
            <w:pPr>
              <w:keepNext/>
              <w:keepLines/>
              <w:spacing w:after="0" w:line="280" w:lineRule="exact"/>
              <w:jc w:val="left"/>
            </w:pPr>
            <w:r>
              <w:t>Ductless heat pump</w:t>
            </w:r>
          </w:p>
        </w:tc>
        <w:tc>
          <w:tcPr>
            <w:tcW w:w="1070" w:type="pct"/>
            <w:vAlign w:val="center"/>
          </w:tcPr>
          <w:p w14:paraId="4C6417D5" w14:textId="093F3A72" w:rsidR="00DD722B" w:rsidRPr="000456B9" w:rsidRDefault="00DD722B" w:rsidP="00EE0A17">
            <w:pPr>
              <w:keepNext/>
              <w:keepLines/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</w:t>
            </w:r>
          </w:p>
        </w:tc>
        <w:tc>
          <w:tcPr>
            <w:tcW w:w="1070" w:type="pct"/>
            <w:vAlign w:val="center"/>
          </w:tcPr>
          <w:p w14:paraId="34AF7636" w14:textId="5831D41E" w:rsidR="00DD722B" w:rsidRPr="001F1052" w:rsidRDefault="00E90C8E" w:rsidP="00EB5086">
            <w:pPr>
              <w:keepNext/>
              <w:keepLines/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39%</w:t>
            </w:r>
          </w:p>
        </w:tc>
        <w:tc>
          <w:tcPr>
            <w:tcW w:w="1070" w:type="pct"/>
          </w:tcPr>
          <w:p w14:paraId="36F32FF4" w14:textId="10DE2148" w:rsidR="00DD722B" w:rsidRPr="000456B9" w:rsidRDefault="00DD722B" w:rsidP="00EE0A17">
            <w:pPr>
              <w:keepNext/>
              <w:keepLines/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1052">
              <w:t>37%</w:t>
            </w:r>
          </w:p>
        </w:tc>
      </w:tr>
      <w:tr w:rsidR="00DD722B" w14:paraId="4A0CCB33" w14:textId="77777777" w:rsidTr="00EB50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pct"/>
            <w:vAlign w:val="center"/>
          </w:tcPr>
          <w:p w14:paraId="110D0DE3" w14:textId="553C6E97" w:rsidR="00DD722B" w:rsidRPr="00C92BE4" w:rsidRDefault="00DD722B" w:rsidP="00EE0A17">
            <w:pPr>
              <w:keepNext/>
              <w:keepLines/>
              <w:spacing w:after="0" w:line="280" w:lineRule="exact"/>
              <w:jc w:val="left"/>
            </w:pPr>
            <w:r>
              <w:t>Geothermal heat pump</w:t>
            </w:r>
          </w:p>
        </w:tc>
        <w:tc>
          <w:tcPr>
            <w:tcW w:w="1070" w:type="pct"/>
            <w:vAlign w:val="center"/>
          </w:tcPr>
          <w:p w14:paraId="3CDA6746" w14:textId="05359C5D" w:rsidR="00DD722B" w:rsidRPr="000456B9" w:rsidRDefault="00DD722B" w:rsidP="00EE0A17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070" w:type="pct"/>
            <w:vAlign w:val="center"/>
          </w:tcPr>
          <w:p w14:paraId="0C1CF843" w14:textId="72897062" w:rsidR="00DD722B" w:rsidRPr="00304CCF" w:rsidRDefault="001E06A3" w:rsidP="00EB5086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40%</w:t>
            </w:r>
          </w:p>
        </w:tc>
        <w:tc>
          <w:tcPr>
            <w:tcW w:w="1070" w:type="pct"/>
          </w:tcPr>
          <w:p w14:paraId="21B8CFE8" w14:textId="5E58B4CD" w:rsidR="00DD722B" w:rsidRPr="000456B9" w:rsidRDefault="00DD722B" w:rsidP="00EE0A17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04CCF">
              <w:t>40%</w:t>
            </w:r>
          </w:p>
        </w:tc>
      </w:tr>
      <w:tr w:rsidR="00DD722B" w14:paraId="4CAC0BDB" w14:textId="77777777" w:rsidTr="007B1E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Align w:val="center"/>
          </w:tcPr>
          <w:p w14:paraId="67DC4E26" w14:textId="4C31DABE" w:rsidR="00DD722B" w:rsidRPr="00C92BE4" w:rsidRDefault="00DD722B" w:rsidP="007B1EA5">
            <w:pPr>
              <w:keepNext/>
              <w:keepLines/>
              <w:spacing w:after="0" w:line="280" w:lineRule="exact"/>
            </w:pPr>
            <w:r>
              <w:t>Air source heat pump</w:t>
            </w:r>
          </w:p>
        </w:tc>
        <w:tc>
          <w:tcPr>
            <w:tcW w:w="0" w:type="pct"/>
            <w:vAlign w:val="center"/>
          </w:tcPr>
          <w:p w14:paraId="09AEF3DB" w14:textId="13BE8EBE" w:rsidR="00DD722B" w:rsidRPr="000456B9" w:rsidRDefault="00DD722B" w:rsidP="00EE0A17">
            <w:pPr>
              <w:keepNext/>
              <w:keepLines/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0" w:type="pct"/>
            <w:vAlign w:val="center"/>
          </w:tcPr>
          <w:p w14:paraId="4969759B" w14:textId="77AF8AB1" w:rsidR="00DD722B" w:rsidRPr="00304CCF" w:rsidRDefault="001E06A3" w:rsidP="00EB5086">
            <w:pPr>
              <w:keepNext/>
              <w:keepLines/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47%</w:t>
            </w:r>
          </w:p>
        </w:tc>
        <w:tc>
          <w:tcPr>
            <w:tcW w:w="0" w:type="pct"/>
          </w:tcPr>
          <w:p w14:paraId="17CDC931" w14:textId="4CDCB06F" w:rsidR="00DD722B" w:rsidRPr="000456B9" w:rsidRDefault="00DD722B" w:rsidP="00EE0A17">
            <w:pPr>
              <w:keepNext/>
              <w:keepLines/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4CCF">
              <w:t>47%</w:t>
            </w:r>
          </w:p>
        </w:tc>
      </w:tr>
      <w:tr w:rsidR="00DD722B" w14:paraId="40AE46A2" w14:textId="77777777" w:rsidTr="00EB50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pct"/>
            <w:vAlign w:val="center"/>
          </w:tcPr>
          <w:p w14:paraId="7F4FAD17" w14:textId="4B6A7105" w:rsidR="00DD722B" w:rsidRPr="00253CA0" w:rsidRDefault="00DD722B" w:rsidP="00EE0A17">
            <w:pPr>
              <w:keepNext/>
              <w:keepLines/>
              <w:spacing w:after="0" w:line="280" w:lineRule="exact"/>
              <w:jc w:val="left"/>
              <w:rPr>
                <w:b/>
                <w:bCs/>
              </w:rPr>
            </w:pPr>
            <w:r w:rsidRPr="00253CA0">
              <w:rPr>
                <w:b/>
                <w:bCs/>
              </w:rPr>
              <w:t>Any heat pump</w:t>
            </w:r>
          </w:p>
        </w:tc>
        <w:tc>
          <w:tcPr>
            <w:tcW w:w="1070" w:type="pct"/>
            <w:vAlign w:val="center"/>
          </w:tcPr>
          <w:p w14:paraId="2EB05812" w14:textId="676DB508" w:rsidR="00DD722B" w:rsidRPr="000D09B5" w:rsidRDefault="00DD722B" w:rsidP="00EE0A17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0D09B5">
              <w:rPr>
                <w:b/>
                <w:bCs/>
              </w:rPr>
              <w:t>34</w:t>
            </w:r>
          </w:p>
        </w:tc>
        <w:tc>
          <w:tcPr>
            <w:tcW w:w="1070" w:type="pct"/>
            <w:vAlign w:val="center"/>
          </w:tcPr>
          <w:p w14:paraId="4757635A" w14:textId="7FBE9ABE" w:rsidR="00DD722B" w:rsidRPr="000D09B5" w:rsidRDefault="00A60D25" w:rsidP="00EB5086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40%</w:t>
            </w:r>
          </w:p>
        </w:tc>
        <w:tc>
          <w:tcPr>
            <w:tcW w:w="1070" w:type="pct"/>
          </w:tcPr>
          <w:p w14:paraId="3E2F892D" w14:textId="5FEAA20B" w:rsidR="00DD722B" w:rsidRPr="000D09B5" w:rsidRDefault="00DD722B" w:rsidP="00EE0A17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0D09B5">
              <w:rPr>
                <w:b/>
                <w:bCs/>
              </w:rPr>
              <w:t>38%</w:t>
            </w:r>
          </w:p>
        </w:tc>
      </w:tr>
    </w:tbl>
    <w:p w14:paraId="44C7A1A9" w14:textId="77777777" w:rsidR="00A75C39" w:rsidRDefault="00A75C39" w:rsidP="001E55EE"/>
    <w:p w14:paraId="46FCDEBD" w14:textId="35D4C9F4" w:rsidR="000D09B5" w:rsidRDefault="00CE7C9E" w:rsidP="00360AB9">
      <w:pPr>
        <w:keepNext/>
        <w:keepLines/>
      </w:pPr>
      <w:r w:rsidRPr="00122F33">
        <w:rPr>
          <w:rStyle w:val="CrossRefChar"/>
        </w:rPr>
        <w:fldChar w:fldCharType="begin"/>
      </w:r>
      <w:r w:rsidRPr="00122F33">
        <w:rPr>
          <w:rStyle w:val="CrossRefChar"/>
        </w:rPr>
        <w:instrText xml:space="preserve"> REF _Ref106047058 \h </w:instrText>
      </w:r>
      <w:r w:rsidR="00122F33">
        <w:rPr>
          <w:rStyle w:val="CrossRefChar"/>
        </w:rPr>
        <w:instrText xml:space="preserve"> \* MERGEFORMAT </w:instrText>
      </w:r>
      <w:r w:rsidRPr="00122F33">
        <w:rPr>
          <w:rStyle w:val="CrossRefChar"/>
        </w:rPr>
      </w:r>
      <w:r w:rsidRPr="00122F33">
        <w:rPr>
          <w:rStyle w:val="CrossRefChar"/>
        </w:rPr>
        <w:fldChar w:fldCharType="separate"/>
      </w:r>
      <w:r w:rsidR="00630DA0" w:rsidRPr="00630DA0">
        <w:rPr>
          <w:rStyle w:val="CrossRefChar"/>
        </w:rPr>
        <w:t>Table 5</w:t>
      </w:r>
      <w:r w:rsidRPr="00122F33">
        <w:rPr>
          <w:rStyle w:val="CrossRefChar"/>
        </w:rPr>
        <w:fldChar w:fldCharType="end"/>
      </w:r>
      <w:r>
        <w:t xml:space="preserve"> shows </w:t>
      </w:r>
      <w:r w:rsidR="00AF0EAB">
        <w:t>savings-weighted free</w:t>
      </w:r>
      <w:r w:rsidR="004502B4">
        <w:t>-</w:t>
      </w:r>
      <w:r w:rsidR="00AF0EAB">
        <w:t xml:space="preserve">ridership rate for </w:t>
      </w:r>
      <w:r w:rsidR="006431EA">
        <w:t>rebated appliances installed by HES participants.</w:t>
      </w:r>
      <w:r w:rsidR="00E31C83">
        <w:t xml:space="preserve"> A</w:t>
      </w:r>
      <w:r w:rsidR="00D23512">
        <w:t>s a</w:t>
      </w:r>
      <w:r w:rsidR="00E31C83">
        <w:t xml:space="preserve">ppliances had a relatively low incidence </w:t>
      </w:r>
      <w:r w:rsidR="00D23512">
        <w:t>among the population, we show free</w:t>
      </w:r>
      <w:r w:rsidR="004502B4">
        <w:t>-</w:t>
      </w:r>
      <w:r w:rsidR="00136D63">
        <w:t>r</w:t>
      </w:r>
      <w:r w:rsidR="00D23512">
        <w:t xml:space="preserve">idership rates by appliance category </w:t>
      </w:r>
      <w:r w:rsidR="001A11C0">
        <w:t>(4</w:t>
      </w:r>
      <w:r w:rsidR="009125A1">
        <w:t>3</w:t>
      </w:r>
      <w:r w:rsidR="00DC0AB2">
        <w:t>%</w:t>
      </w:r>
      <w:r w:rsidR="00BB661D">
        <w:t xml:space="preserve"> to </w:t>
      </w:r>
      <w:r w:rsidR="009125A1">
        <w:t>48</w:t>
      </w:r>
      <w:r w:rsidR="001A11C0">
        <w:t>%)</w:t>
      </w:r>
      <w:r w:rsidR="00D23512">
        <w:t xml:space="preserve"> and overall (45%). </w:t>
      </w:r>
    </w:p>
    <w:p w14:paraId="4112A374" w14:textId="32350947" w:rsidR="008A1003" w:rsidRDefault="008A1003" w:rsidP="008A1003">
      <w:pPr>
        <w:pStyle w:val="Caption"/>
      </w:pPr>
      <w:bookmarkStart w:id="5" w:name="_Ref106047058"/>
      <w:r>
        <w:t xml:space="preserve">Table </w:t>
      </w:r>
      <w:r w:rsidR="00EE337D">
        <w:fldChar w:fldCharType="begin"/>
      </w:r>
      <w:r w:rsidR="00EE337D">
        <w:instrText xml:space="preserve"> SEQ Table \* ARABIC </w:instrText>
      </w:r>
      <w:r w:rsidR="00EE337D">
        <w:fldChar w:fldCharType="separate"/>
      </w:r>
      <w:r w:rsidR="0022173A">
        <w:rPr>
          <w:noProof/>
        </w:rPr>
        <w:t>6</w:t>
      </w:r>
      <w:r w:rsidR="00EE337D">
        <w:rPr>
          <w:noProof/>
        </w:rPr>
        <w:fldChar w:fldCharType="end"/>
      </w:r>
      <w:bookmarkEnd w:id="5"/>
      <w:r>
        <w:t xml:space="preserve">: </w:t>
      </w:r>
      <w:proofErr w:type="spellStart"/>
      <w:r>
        <w:t>HES</w:t>
      </w:r>
      <w:proofErr w:type="spellEnd"/>
      <w:r>
        <w:t xml:space="preserve"> Appliance </w:t>
      </w:r>
      <w:r w:rsidR="00CE7C9E">
        <w:t>Free-Ridership</w:t>
      </w:r>
    </w:p>
    <w:tbl>
      <w:tblPr>
        <w:tblStyle w:val="BodyOdd"/>
        <w:tblW w:w="5000" w:type="pct"/>
        <w:tblLook w:val="04A0" w:firstRow="1" w:lastRow="0" w:firstColumn="1" w:lastColumn="0" w:noHBand="0" w:noVBand="1"/>
      </w:tblPr>
      <w:tblGrid>
        <w:gridCol w:w="3351"/>
        <w:gridCol w:w="2003"/>
        <w:gridCol w:w="2003"/>
        <w:gridCol w:w="2003"/>
      </w:tblGrid>
      <w:tr w:rsidR="00EA5DE3" w14:paraId="3CEBFB3B" w14:textId="77777777" w:rsidTr="000020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pct"/>
          </w:tcPr>
          <w:p w14:paraId="545B9C6B" w14:textId="13B38131" w:rsidR="00EA5DE3" w:rsidRPr="00125651" w:rsidRDefault="00EA5DE3" w:rsidP="002919BB">
            <w:pPr>
              <w:spacing w:after="0" w:line="280" w:lineRule="exact"/>
              <w:jc w:val="left"/>
              <w:rPr>
                <w:bCs/>
              </w:rPr>
            </w:pPr>
            <w:r>
              <w:rPr>
                <w:bCs/>
              </w:rPr>
              <w:t>Appliance Type</w:t>
            </w:r>
          </w:p>
        </w:tc>
        <w:tc>
          <w:tcPr>
            <w:tcW w:w="1070" w:type="pct"/>
          </w:tcPr>
          <w:p w14:paraId="598C98AD" w14:textId="77777777" w:rsidR="00EA5DE3" w:rsidRPr="009E4237" w:rsidRDefault="00EA5DE3" w:rsidP="002919BB">
            <w:pPr>
              <w:spacing w:after="0"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1070" w:type="pct"/>
          </w:tcPr>
          <w:p w14:paraId="6F528817" w14:textId="538E4813" w:rsidR="00EA5DE3" w:rsidRDefault="00EA5DE3" w:rsidP="00DD722B">
            <w:pPr>
              <w:spacing w:after="0"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Unweighted FR</w:t>
            </w:r>
          </w:p>
        </w:tc>
        <w:tc>
          <w:tcPr>
            <w:tcW w:w="1070" w:type="pct"/>
          </w:tcPr>
          <w:p w14:paraId="01C9FC98" w14:textId="4A991F4C" w:rsidR="00EA5DE3" w:rsidRPr="009E4237" w:rsidRDefault="00EA5DE3" w:rsidP="002919BB">
            <w:pPr>
              <w:spacing w:after="0"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Savings-Weighted FR</w:t>
            </w:r>
          </w:p>
        </w:tc>
      </w:tr>
      <w:tr w:rsidR="00EA5DE3" w14:paraId="7B47A924" w14:textId="77777777" w:rsidTr="007E7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pct"/>
            <w:shd w:val="clear" w:color="auto" w:fill="auto"/>
          </w:tcPr>
          <w:p w14:paraId="4411E020" w14:textId="4CB9C857" w:rsidR="00EA5DE3" w:rsidRPr="00C92BE4" w:rsidRDefault="00EA5DE3" w:rsidP="002919BB">
            <w:pPr>
              <w:spacing w:after="0" w:line="280" w:lineRule="exact"/>
              <w:jc w:val="left"/>
            </w:pPr>
            <w:r>
              <w:t>Refrigerator</w:t>
            </w:r>
            <w:r w:rsidR="008905B1">
              <w:t xml:space="preserve"> / Freezer</w:t>
            </w:r>
          </w:p>
        </w:tc>
        <w:tc>
          <w:tcPr>
            <w:tcW w:w="1070" w:type="pct"/>
            <w:shd w:val="clear" w:color="auto" w:fill="auto"/>
          </w:tcPr>
          <w:p w14:paraId="7CD0065C" w14:textId="528CC8DD" w:rsidR="00EA5DE3" w:rsidRPr="000456B9" w:rsidRDefault="00EA5DE3" w:rsidP="002919BB">
            <w:pPr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  <w:r w:rsidR="008905B1">
              <w:t>9</w:t>
            </w:r>
          </w:p>
        </w:tc>
        <w:tc>
          <w:tcPr>
            <w:tcW w:w="1070" w:type="pct"/>
            <w:shd w:val="clear" w:color="auto" w:fill="auto"/>
          </w:tcPr>
          <w:p w14:paraId="68534138" w14:textId="7E0296E8" w:rsidR="00EA5DE3" w:rsidRPr="00EF4016" w:rsidRDefault="00746680" w:rsidP="00EB5086">
            <w:pPr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  <w:r w:rsidR="00112385">
              <w:t>8</w:t>
            </w:r>
            <w:r>
              <w:t>%</w:t>
            </w:r>
          </w:p>
        </w:tc>
        <w:tc>
          <w:tcPr>
            <w:tcW w:w="1070" w:type="pct"/>
            <w:shd w:val="clear" w:color="auto" w:fill="auto"/>
          </w:tcPr>
          <w:p w14:paraId="5390F659" w14:textId="0A548A88" w:rsidR="00EA5DE3" w:rsidRPr="000456B9" w:rsidRDefault="00EA5DE3" w:rsidP="002919BB">
            <w:pPr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4016">
              <w:t>47%</w:t>
            </w:r>
          </w:p>
        </w:tc>
      </w:tr>
      <w:tr w:rsidR="00EA5DE3" w14:paraId="3A2EC564" w14:textId="77777777" w:rsidTr="007E74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pct"/>
            <w:shd w:val="clear" w:color="auto" w:fill="CCCCCC" w:themeFill="accent1" w:themeFillTint="66"/>
          </w:tcPr>
          <w:p w14:paraId="0730D11A" w14:textId="5883244A" w:rsidR="00EA5DE3" w:rsidRPr="00C92BE4" w:rsidRDefault="00EA5DE3" w:rsidP="002919BB">
            <w:pPr>
              <w:spacing w:after="0" w:line="280" w:lineRule="exact"/>
              <w:jc w:val="left"/>
            </w:pPr>
            <w:r>
              <w:t>Clothes washer</w:t>
            </w:r>
          </w:p>
        </w:tc>
        <w:tc>
          <w:tcPr>
            <w:tcW w:w="1070" w:type="pct"/>
            <w:shd w:val="clear" w:color="auto" w:fill="CCCCCC" w:themeFill="accent1" w:themeFillTint="66"/>
          </w:tcPr>
          <w:p w14:paraId="76D29235" w14:textId="543F68A8" w:rsidR="00EA5DE3" w:rsidRPr="000456B9" w:rsidRDefault="00EA5DE3" w:rsidP="002919BB">
            <w:pPr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27</w:t>
            </w:r>
          </w:p>
        </w:tc>
        <w:tc>
          <w:tcPr>
            <w:tcW w:w="1070" w:type="pct"/>
            <w:shd w:val="clear" w:color="auto" w:fill="CCCCCC" w:themeFill="accent1" w:themeFillTint="66"/>
          </w:tcPr>
          <w:p w14:paraId="574D2447" w14:textId="72BD6D94" w:rsidR="00EA5DE3" w:rsidRPr="00EF4016" w:rsidRDefault="007861A2" w:rsidP="00EB5086">
            <w:pPr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</w:t>
            </w:r>
            <w:r w:rsidR="00FD041A">
              <w:t>3</w:t>
            </w:r>
            <w:r>
              <w:t>%</w:t>
            </w:r>
          </w:p>
        </w:tc>
        <w:tc>
          <w:tcPr>
            <w:tcW w:w="1070" w:type="pct"/>
            <w:shd w:val="clear" w:color="auto" w:fill="CCCCCC" w:themeFill="accent1" w:themeFillTint="66"/>
          </w:tcPr>
          <w:p w14:paraId="073FEB33" w14:textId="7E1719FE" w:rsidR="00EA5DE3" w:rsidRPr="000456B9" w:rsidRDefault="00EA5DE3" w:rsidP="002919BB">
            <w:pPr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F4016">
              <w:t>42%</w:t>
            </w:r>
          </w:p>
        </w:tc>
      </w:tr>
      <w:tr w:rsidR="00EA5DE3" w14:paraId="5D5AA45C" w14:textId="77777777" w:rsidTr="007E7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pct"/>
            <w:shd w:val="clear" w:color="auto" w:fill="auto"/>
          </w:tcPr>
          <w:p w14:paraId="2F575A35" w14:textId="3193B4F0" w:rsidR="00EA5DE3" w:rsidRPr="00C92BE4" w:rsidRDefault="00EA5DE3" w:rsidP="002919BB">
            <w:pPr>
              <w:spacing w:after="0" w:line="280" w:lineRule="exact"/>
              <w:jc w:val="left"/>
            </w:pPr>
            <w:r>
              <w:t>Dehumidifier</w:t>
            </w:r>
          </w:p>
        </w:tc>
        <w:tc>
          <w:tcPr>
            <w:tcW w:w="1070" w:type="pct"/>
            <w:shd w:val="clear" w:color="auto" w:fill="auto"/>
          </w:tcPr>
          <w:p w14:paraId="452C64AB" w14:textId="391ACD36" w:rsidR="00EA5DE3" w:rsidRPr="000456B9" w:rsidRDefault="00EA5DE3" w:rsidP="002919BB">
            <w:pPr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</w:t>
            </w:r>
          </w:p>
        </w:tc>
        <w:tc>
          <w:tcPr>
            <w:tcW w:w="1070" w:type="pct"/>
            <w:shd w:val="clear" w:color="auto" w:fill="auto"/>
          </w:tcPr>
          <w:p w14:paraId="65E2D799" w14:textId="67BA94FB" w:rsidR="00EA5DE3" w:rsidRPr="00EF4016" w:rsidRDefault="002F2354" w:rsidP="00EB5086">
            <w:pPr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45%</w:t>
            </w:r>
          </w:p>
        </w:tc>
        <w:tc>
          <w:tcPr>
            <w:tcW w:w="1070" w:type="pct"/>
            <w:shd w:val="clear" w:color="auto" w:fill="auto"/>
          </w:tcPr>
          <w:p w14:paraId="531EBD8D" w14:textId="2505ADA2" w:rsidR="00EA5DE3" w:rsidRPr="000456B9" w:rsidRDefault="00EA5DE3" w:rsidP="002919BB">
            <w:pPr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4016">
              <w:t>43%</w:t>
            </w:r>
          </w:p>
        </w:tc>
      </w:tr>
      <w:tr w:rsidR="00EA5DE3" w14:paraId="73DCED2E" w14:textId="77777777" w:rsidTr="007B1E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CCCCCC" w:themeFill="accent1" w:themeFillTint="66"/>
          </w:tcPr>
          <w:p w14:paraId="79604AF7" w14:textId="3446014C" w:rsidR="00EA5DE3" w:rsidRPr="00253CA0" w:rsidRDefault="00EA5DE3" w:rsidP="007B1EA5">
            <w:pPr>
              <w:spacing w:after="0" w:line="280" w:lineRule="exac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Appliances (combined)</w:t>
            </w:r>
          </w:p>
        </w:tc>
        <w:tc>
          <w:tcPr>
            <w:tcW w:w="0" w:type="pct"/>
            <w:shd w:val="clear" w:color="auto" w:fill="CCCCCC" w:themeFill="accent1" w:themeFillTint="66"/>
          </w:tcPr>
          <w:p w14:paraId="7E28D4FF" w14:textId="55DFFDD7" w:rsidR="00EA5DE3" w:rsidRPr="000D09B5" w:rsidRDefault="00EA5DE3" w:rsidP="002919BB">
            <w:pPr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79</w:t>
            </w:r>
          </w:p>
        </w:tc>
        <w:tc>
          <w:tcPr>
            <w:tcW w:w="0" w:type="pct"/>
            <w:shd w:val="clear" w:color="auto" w:fill="CCCCCC" w:themeFill="accent1" w:themeFillTint="66"/>
          </w:tcPr>
          <w:p w14:paraId="632A209E" w14:textId="15061469" w:rsidR="00EA5DE3" w:rsidRPr="00761E4E" w:rsidRDefault="00A60288" w:rsidP="00EB5086">
            <w:pPr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45%</w:t>
            </w:r>
          </w:p>
        </w:tc>
        <w:tc>
          <w:tcPr>
            <w:tcW w:w="0" w:type="pct"/>
            <w:shd w:val="clear" w:color="auto" w:fill="CCCCCC" w:themeFill="accent1" w:themeFillTint="66"/>
          </w:tcPr>
          <w:p w14:paraId="7F8030CC" w14:textId="0942CFCA" w:rsidR="00EA5DE3" w:rsidRPr="000D09B5" w:rsidRDefault="00EA5DE3" w:rsidP="002919BB">
            <w:pPr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761E4E">
              <w:rPr>
                <w:b/>
                <w:bCs/>
              </w:rPr>
              <w:t>45%</w:t>
            </w:r>
          </w:p>
        </w:tc>
      </w:tr>
    </w:tbl>
    <w:p w14:paraId="65944C12" w14:textId="2F011DB4" w:rsidR="00C9765A" w:rsidRDefault="00C9765A" w:rsidP="00C9765A">
      <w:pPr>
        <w:pStyle w:val="Heading3"/>
      </w:pPr>
      <w:r>
        <w:t>Benchmarking</w:t>
      </w:r>
    </w:p>
    <w:p w14:paraId="1A32B458" w14:textId="455EBB41" w:rsidR="008409BE" w:rsidRDefault="0038038D" w:rsidP="008409BE">
      <w:r w:rsidRPr="007E7434">
        <w:rPr>
          <w:rStyle w:val="CrossRefChar"/>
        </w:rPr>
        <w:fldChar w:fldCharType="begin"/>
      </w:r>
      <w:r w:rsidRPr="007E7434">
        <w:rPr>
          <w:rStyle w:val="CrossRefChar"/>
        </w:rPr>
        <w:instrText xml:space="preserve"> REF _Ref107519644 \h </w:instrText>
      </w:r>
      <w:r w:rsidR="00C16F0C">
        <w:rPr>
          <w:rStyle w:val="CrossRefChar"/>
        </w:rPr>
        <w:instrText xml:space="preserve"> \* MERGEFORMAT </w:instrText>
      </w:r>
      <w:r w:rsidRPr="007E7434">
        <w:rPr>
          <w:rStyle w:val="CrossRefChar"/>
        </w:rPr>
      </w:r>
      <w:r w:rsidRPr="007E7434">
        <w:rPr>
          <w:rStyle w:val="CrossRefChar"/>
        </w:rPr>
        <w:fldChar w:fldCharType="separate"/>
      </w:r>
      <w:r w:rsidRPr="007E7434">
        <w:rPr>
          <w:rStyle w:val="CrossRefChar"/>
        </w:rPr>
        <w:t>Table 5</w:t>
      </w:r>
      <w:r w:rsidRPr="007E7434">
        <w:rPr>
          <w:rStyle w:val="CrossRefChar"/>
        </w:rPr>
        <w:fldChar w:fldCharType="end"/>
      </w:r>
      <w:r w:rsidRPr="007E7434">
        <w:rPr>
          <w:rStyle w:val="CrossRefChar"/>
        </w:rPr>
        <w:t xml:space="preserve"> </w:t>
      </w:r>
      <w:r>
        <w:t xml:space="preserve">shows </w:t>
      </w:r>
      <w:r w:rsidR="00E32AA1">
        <w:t xml:space="preserve">free-ridership values from other NTG studies in the mid-Atlantic and Northeast that estimated NTG by measure. </w:t>
      </w:r>
      <w:r w:rsidR="00412D9F">
        <w:t xml:space="preserve">For the purposes of comparison to past Connecticut HES studies, we note that the </w:t>
      </w:r>
      <w:r w:rsidR="00530142">
        <w:t>R4 study had a different NTG approach than the R1983 study, which use</w:t>
      </w:r>
      <w:r w:rsidR="00A60C11">
        <w:t>d</w:t>
      </w:r>
      <w:r w:rsidR="00530142">
        <w:t xml:space="preserve"> the Massachusetts NTG algorithm</w:t>
      </w:r>
      <w:r w:rsidR="00DD60B7">
        <w:t xml:space="preserve"> </w:t>
      </w:r>
      <w:r w:rsidR="009F4A91">
        <w:t xml:space="preserve">with a LAM-adjusted scale. </w:t>
      </w:r>
      <w:r w:rsidR="00E004DA">
        <w:t>Due to the similarities in NTG methodology and program design, t</w:t>
      </w:r>
      <w:r w:rsidR="009F4A91">
        <w:t xml:space="preserve">he Massachusetts values are likely the closest </w:t>
      </w:r>
      <w:r w:rsidR="00A639EF">
        <w:t xml:space="preserve">benchmark for the measure-level free-ridership reported in R1983. </w:t>
      </w:r>
    </w:p>
    <w:p w14:paraId="14D68122" w14:textId="5E428780" w:rsidR="00F24D1D" w:rsidRDefault="00F24D1D" w:rsidP="007E7434">
      <w:pPr>
        <w:pStyle w:val="Caption"/>
      </w:pPr>
      <w:bookmarkStart w:id="6" w:name="_Ref107519644"/>
      <w:r>
        <w:t xml:space="preserve">Table </w:t>
      </w:r>
      <w:r w:rsidR="00EE337D">
        <w:fldChar w:fldCharType="begin"/>
      </w:r>
      <w:r w:rsidR="00EE337D">
        <w:instrText xml:space="preserve"> SEQ Table \* ARABIC </w:instrText>
      </w:r>
      <w:r w:rsidR="00EE337D">
        <w:fldChar w:fldCharType="separate"/>
      </w:r>
      <w:r w:rsidR="0022173A">
        <w:rPr>
          <w:noProof/>
        </w:rPr>
        <w:t>7</w:t>
      </w:r>
      <w:r w:rsidR="00EE337D">
        <w:rPr>
          <w:noProof/>
        </w:rPr>
        <w:fldChar w:fldCharType="end"/>
      </w:r>
      <w:bookmarkEnd w:id="6"/>
      <w:r>
        <w:t>: Free-Ridership Benchmark Values</w:t>
      </w:r>
    </w:p>
    <w:tbl>
      <w:tblPr>
        <w:tblStyle w:val="BodyOdd"/>
        <w:tblW w:w="5000" w:type="pct"/>
        <w:tblLook w:val="04A0" w:firstRow="1" w:lastRow="0" w:firstColumn="1" w:lastColumn="0" w:noHBand="0" w:noVBand="1"/>
      </w:tblPr>
      <w:tblGrid>
        <w:gridCol w:w="2645"/>
        <w:gridCol w:w="2033"/>
        <w:gridCol w:w="1801"/>
        <w:gridCol w:w="1075"/>
        <w:gridCol w:w="1806"/>
      </w:tblGrid>
      <w:tr w:rsidR="00EC1B8B" w14:paraId="11599D6F" w14:textId="77777777" w:rsidTr="00EC1B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pct"/>
            <w:vMerge w:val="restart"/>
          </w:tcPr>
          <w:p w14:paraId="3AABDBEB" w14:textId="67EE54F7" w:rsidR="00A04FFC" w:rsidRPr="00125651" w:rsidRDefault="00A04FFC" w:rsidP="007E7434">
            <w:pPr>
              <w:keepNext/>
              <w:keepLines/>
              <w:spacing w:after="0" w:line="280" w:lineRule="exact"/>
              <w:jc w:val="left"/>
              <w:rPr>
                <w:bCs/>
              </w:rPr>
            </w:pPr>
            <w:r>
              <w:rPr>
                <w:bCs/>
              </w:rPr>
              <w:t>Measure</w:t>
            </w:r>
          </w:p>
        </w:tc>
        <w:tc>
          <w:tcPr>
            <w:tcW w:w="1086" w:type="pct"/>
            <w:vMerge w:val="restart"/>
          </w:tcPr>
          <w:p w14:paraId="6E208ED3" w14:textId="7321ED0A" w:rsidR="00A04FFC" w:rsidRPr="009E4237" w:rsidRDefault="00A04FFC" w:rsidP="007E7434">
            <w:pPr>
              <w:keepNext/>
              <w:keepLines/>
              <w:spacing w:after="0"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R1983 Savings-Weighted FR</w:t>
            </w:r>
          </w:p>
        </w:tc>
        <w:tc>
          <w:tcPr>
            <w:tcW w:w="2501" w:type="pct"/>
            <w:gridSpan w:val="3"/>
          </w:tcPr>
          <w:p w14:paraId="0A343ECB" w14:textId="3335C4F6" w:rsidR="00A04FFC" w:rsidRPr="009E4237" w:rsidRDefault="00A04FFC" w:rsidP="007E7434">
            <w:pPr>
              <w:keepNext/>
              <w:keepLines/>
              <w:spacing w:after="0"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Benchmark </w:t>
            </w:r>
          </w:p>
        </w:tc>
      </w:tr>
      <w:tr w:rsidR="009D2802" w:rsidRPr="00C92BB2" w14:paraId="0CEF30F3" w14:textId="77777777" w:rsidTr="007E7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pct"/>
            <w:vMerge/>
            <w:shd w:val="clear" w:color="auto" w:fill="046A38" w:themeFill="accent2"/>
          </w:tcPr>
          <w:p w14:paraId="79B43D1D" w14:textId="77777777" w:rsidR="00A04FFC" w:rsidRPr="007E7434" w:rsidRDefault="00A04FFC" w:rsidP="007E7434">
            <w:pPr>
              <w:keepNext/>
              <w:keepLines/>
              <w:spacing w:after="0" w:line="280" w:lineRule="exact"/>
              <w:jc w:val="left"/>
              <w:rPr>
                <w:bCs/>
                <w:color w:val="FFFFFF" w:themeColor="background1"/>
              </w:rPr>
            </w:pPr>
          </w:p>
        </w:tc>
        <w:tc>
          <w:tcPr>
            <w:tcW w:w="1086" w:type="pct"/>
            <w:vMerge/>
            <w:shd w:val="clear" w:color="auto" w:fill="046A38" w:themeFill="accent2"/>
          </w:tcPr>
          <w:p w14:paraId="12998BA2" w14:textId="77777777" w:rsidR="00A04FFC" w:rsidRPr="007E7434" w:rsidRDefault="00A04FFC" w:rsidP="007E7434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FFFFFF" w:themeColor="background1"/>
              </w:rPr>
            </w:pPr>
          </w:p>
        </w:tc>
        <w:tc>
          <w:tcPr>
            <w:tcW w:w="962" w:type="pct"/>
            <w:shd w:val="clear" w:color="auto" w:fill="046A38" w:themeFill="accent2"/>
          </w:tcPr>
          <w:p w14:paraId="278E7056" w14:textId="07F5CB6D" w:rsidR="00A04FFC" w:rsidRPr="007E7434" w:rsidRDefault="00A04FFC" w:rsidP="007E7434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FR Value</w:t>
            </w:r>
          </w:p>
        </w:tc>
        <w:tc>
          <w:tcPr>
            <w:tcW w:w="574" w:type="pct"/>
            <w:shd w:val="clear" w:color="auto" w:fill="046A38" w:themeFill="accent2"/>
          </w:tcPr>
          <w:p w14:paraId="7F83981A" w14:textId="64638252" w:rsidR="00A04FFC" w:rsidRPr="007E7434" w:rsidRDefault="00A04FFC" w:rsidP="007E7434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7E7434">
              <w:rPr>
                <w:b/>
                <w:color w:val="FFFFFF" w:themeColor="background1"/>
              </w:rPr>
              <w:t xml:space="preserve">Year </w:t>
            </w:r>
          </w:p>
        </w:tc>
        <w:tc>
          <w:tcPr>
            <w:tcW w:w="965" w:type="pct"/>
            <w:shd w:val="clear" w:color="auto" w:fill="046A38" w:themeFill="accent2"/>
          </w:tcPr>
          <w:p w14:paraId="1E786CB5" w14:textId="7CEF32FA" w:rsidR="00A04FFC" w:rsidRPr="007E7434" w:rsidRDefault="00A04FFC" w:rsidP="007E7434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7E7434">
              <w:rPr>
                <w:b/>
                <w:color w:val="FFFFFF" w:themeColor="background1"/>
              </w:rPr>
              <w:t>State</w:t>
            </w:r>
          </w:p>
        </w:tc>
      </w:tr>
      <w:tr w:rsidR="009D2802" w14:paraId="45F5F194" w14:textId="77777777" w:rsidTr="007E74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pct"/>
            <w:vAlign w:val="center"/>
          </w:tcPr>
          <w:p w14:paraId="35F95AD4" w14:textId="1F0A4CDE" w:rsidR="004C29B4" w:rsidRPr="00C92BE4" w:rsidRDefault="004C29B4" w:rsidP="007E7434">
            <w:pPr>
              <w:keepNext/>
              <w:keepLines/>
              <w:spacing w:after="0" w:line="280" w:lineRule="exact"/>
              <w:jc w:val="left"/>
            </w:pPr>
            <w:r>
              <w:t>Door and/or window weatherization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3A1E5700" w14:textId="6890854B" w:rsidR="004C29B4" w:rsidRPr="000456B9" w:rsidRDefault="004C29B4" w:rsidP="007E7434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E212F">
              <w:t>28%</w:t>
            </w:r>
            <w:r w:rsidRPr="001E212F">
              <w:rPr>
                <w:vertAlign w:val="superscript"/>
              </w:rPr>
              <w:t>1</w:t>
            </w:r>
          </w:p>
        </w:tc>
        <w:tc>
          <w:tcPr>
            <w:tcW w:w="962" w:type="pct"/>
            <w:vAlign w:val="center"/>
          </w:tcPr>
          <w:p w14:paraId="38FC68A0" w14:textId="01A773E1" w:rsidR="004C29B4" w:rsidRPr="00EF4016" w:rsidRDefault="00C54860" w:rsidP="007E7434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--</w:t>
            </w:r>
          </w:p>
        </w:tc>
        <w:tc>
          <w:tcPr>
            <w:tcW w:w="574" w:type="pct"/>
            <w:vAlign w:val="center"/>
          </w:tcPr>
          <w:p w14:paraId="3DD95B73" w14:textId="2528ACDD" w:rsidR="004C29B4" w:rsidRPr="00EF4016" w:rsidRDefault="00C54860" w:rsidP="007E7434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--</w:t>
            </w:r>
          </w:p>
        </w:tc>
        <w:tc>
          <w:tcPr>
            <w:tcW w:w="965" w:type="pct"/>
            <w:vAlign w:val="center"/>
          </w:tcPr>
          <w:p w14:paraId="4646A2DB" w14:textId="0CB1CF8B" w:rsidR="004C29B4" w:rsidRPr="000456B9" w:rsidRDefault="00C54860" w:rsidP="007E7434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--</w:t>
            </w:r>
          </w:p>
        </w:tc>
      </w:tr>
      <w:tr w:rsidR="00EC1B8B" w14:paraId="5F7DFF5A" w14:textId="77777777" w:rsidTr="00694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pct"/>
            <w:vAlign w:val="center"/>
          </w:tcPr>
          <w:p w14:paraId="41A1AFCC" w14:textId="7FBA146E" w:rsidR="004C29B4" w:rsidRDefault="004C29B4" w:rsidP="007E7434">
            <w:pPr>
              <w:keepNext/>
              <w:keepLines/>
              <w:spacing w:after="0" w:line="280" w:lineRule="exact"/>
              <w:jc w:val="left"/>
            </w:pPr>
            <w:r>
              <w:t>Duct sealing</w:t>
            </w:r>
          </w:p>
        </w:tc>
        <w:tc>
          <w:tcPr>
            <w:tcW w:w="1086" w:type="pct"/>
            <w:vAlign w:val="center"/>
          </w:tcPr>
          <w:p w14:paraId="72E1FA86" w14:textId="0B567041" w:rsidR="004C29B4" w:rsidRPr="000456B9" w:rsidRDefault="004C29B4" w:rsidP="007E7434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4A9B">
              <w:t>14%</w:t>
            </w:r>
          </w:p>
        </w:tc>
        <w:tc>
          <w:tcPr>
            <w:tcW w:w="962" w:type="pct"/>
            <w:vAlign w:val="center"/>
          </w:tcPr>
          <w:p w14:paraId="6254E994" w14:textId="186FF9FF" w:rsidR="004C29B4" w:rsidRDefault="00C54860" w:rsidP="007E7434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18%</w:t>
            </w:r>
          </w:p>
        </w:tc>
        <w:tc>
          <w:tcPr>
            <w:tcW w:w="574" w:type="pct"/>
            <w:vAlign w:val="center"/>
          </w:tcPr>
          <w:p w14:paraId="6E91B931" w14:textId="449C59CA" w:rsidR="004C29B4" w:rsidRPr="00EF4016" w:rsidRDefault="00C54860" w:rsidP="007E7434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</w:t>
            </w:r>
            <w:r w:rsidR="006176E3">
              <w:t>4</w:t>
            </w:r>
          </w:p>
        </w:tc>
        <w:tc>
          <w:tcPr>
            <w:tcW w:w="965" w:type="pct"/>
            <w:vAlign w:val="center"/>
          </w:tcPr>
          <w:p w14:paraId="677A7240" w14:textId="32E184CF" w:rsidR="004C29B4" w:rsidRPr="00EF4016" w:rsidRDefault="00C54860" w:rsidP="007E7434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CT</w:t>
            </w:r>
            <w:r w:rsidR="00140CA0" w:rsidRPr="007E7434">
              <w:rPr>
                <w:vertAlign w:val="superscript"/>
              </w:rPr>
              <w:t>3</w:t>
            </w:r>
          </w:p>
        </w:tc>
      </w:tr>
      <w:tr w:rsidR="009B1455" w14:paraId="07637E92" w14:textId="77777777" w:rsidTr="00694D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pct"/>
            <w:vAlign w:val="center"/>
          </w:tcPr>
          <w:p w14:paraId="30A30572" w14:textId="0EFB5DD1" w:rsidR="004C29B4" w:rsidRDefault="004C29B4" w:rsidP="007E7434">
            <w:pPr>
              <w:keepNext/>
              <w:keepLines/>
              <w:spacing w:after="0" w:line="280" w:lineRule="exact"/>
              <w:jc w:val="left"/>
            </w:pPr>
            <w:r>
              <w:t>Water-saving measures</w:t>
            </w:r>
            <w:r>
              <w:rPr>
                <w:vertAlign w:val="superscript"/>
              </w:rPr>
              <w:t>2</w:t>
            </w:r>
          </w:p>
        </w:tc>
        <w:tc>
          <w:tcPr>
            <w:tcW w:w="1086" w:type="pct"/>
            <w:vAlign w:val="center"/>
          </w:tcPr>
          <w:p w14:paraId="7914AEF1" w14:textId="0E1D3792" w:rsidR="004C29B4" w:rsidRPr="000456B9" w:rsidRDefault="004C29B4" w:rsidP="007E7434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73848">
              <w:t>20%</w:t>
            </w:r>
          </w:p>
        </w:tc>
        <w:tc>
          <w:tcPr>
            <w:tcW w:w="962" w:type="pct"/>
            <w:vAlign w:val="center"/>
          </w:tcPr>
          <w:p w14:paraId="29884D29" w14:textId="3813E2F2" w:rsidR="004C29B4" w:rsidRDefault="000777C6" w:rsidP="007E7434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20%</w:t>
            </w:r>
          </w:p>
        </w:tc>
        <w:tc>
          <w:tcPr>
            <w:tcW w:w="574" w:type="pct"/>
            <w:vAlign w:val="center"/>
          </w:tcPr>
          <w:p w14:paraId="6D04F03D" w14:textId="356DD49C" w:rsidR="004C29B4" w:rsidRPr="00EF4016" w:rsidRDefault="000777C6" w:rsidP="007E7434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201</w:t>
            </w:r>
            <w:r w:rsidR="006176E3">
              <w:t>4</w:t>
            </w:r>
          </w:p>
        </w:tc>
        <w:tc>
          <w:tcPr>
            <w:tcW w:w="965" w:type="pct"/>
            <w:vAlign w:val="center"/>
          </w:tcPr>
          <w:p w14:paraId="718145E6" w14:textId="541F9D37" w:rsidR="004C29B4" w:rsidRPr="00EF4016" w:rsidRDefault="000777C6" w:rsidP="007E7434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CT</w:t>
            </w:r>
            <w:r w:rsidR="00140CA0" w:rsidRPr="002061BB">
              <w:rPr>
                <w:vertAlign w:val="superscript"/>
              </w:rPr>
              <w:t>3</w:t>
            </w:r>
          </w:p>
        </w:tc>
      </w:tr>
      <w:tr w:rsidR="000777C6" w14:paraId="0801D848" w14:textId="77777777" w:rsidTr="007E7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pct"/>
            <w:vMerge w:val="restart"/>
            <w:shd w:val="clear" w:color="auto" w:fill="CCCCCC" w:themeFill="accent1" w:themeFillTint="66"/>
            <w:vAlign w:val="center"/>
          </w:tcPr>
          <w:p w14:paraId="3A0F25EF" w14:textId="49D308AA" w:rsidR="000777C6" w:rsidRDefault="000777C6" w:rsidP="007E7434">
            <w:pPr>
              <w:keepNext/>
              <w:keepLines/>
              <w:spacing w:after="0" w:line="280" w:lineRule="exact"/>
              <w:jc w:val="left"/>
            </w:pPr>
            <w:r>
              <w:t xml:space="preserve">Blower-door-guided air sealing </w:t>
            </w:r>
          </w:p>
        </w:tc>
        <w:tc>
          <w:tcPr>
            <w:tcW w:w="1086" w:type="pct"/>
            <w:vMerge w:val="restart"/>
            <w:shd w:val="clear" w:color="auto" w:fill="CCCCCC" w:themeFill="accent1" w:themeFillTint="66"/>
            <w:vAlign w:val="center"/>
          </w:tcPr>
          <w:p w14:paraId="722F0ED9" w14:textId="11E99A3C" w:rsidR="000777C6" w:rsidRPr="000456B9" w:rsidRDefault="000777C6" w:rsidP="007E7434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353C">
              <w:t>11%</w:t>
            </w:r>
          </w:p>
        </w:tc>
        <w:tc>
          <w:tcPr>
            <w:tcW w:w="962" w:type="pct"/>
            <w:shd w:val="clear" w:color="auto" w:fill="CCCCCC" w:themeFill="accent1" w:themeFillTint="66"/>
            <w:vAlign w:val="center"/>
          </w:tcPr>
          <w:p w14:paraId="1259908C" w14:textId="585ED0B3" w:rsidR="000777C6" w:rsidRDefault="000777C6" w:rsidP="007E7434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25%</w:t>
            </w:r>
          </w:p>
        </w:tc>
        <w:tc>
          <w:tcPr>
            <w:tcW w:w="574" w:type="pct"/>
            <w:shd w:val="clear" w:color="auto" w:fill="CCCCCC" w:themeFill="accent1" w:themeFillTint="66"/>
            <w:vAlign w:val="center"/>
          </w:tcPr>
          <w:p w14:paraId="110B0C20" w14:textId="57B4C723" w:rsidR="000777C6" w:rsidRPr="00EF4016" w:rsidRDefault="000777C6" w:rsidP="007E7434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</w:t>
            </w:r>
            <w:r w:rsidR="006176E3">
              <w:t>4</w:t>
            </w:r>
          </w:p>
        </w:tc>
        <w:tc>
          <w:tcPr>
            <w:tcW w:w="965" w:type="pct"/>
            <w:shd w:val="clear" w:color="auto" w:fill="CCCCCC" w:themeFill="accent1" w:themeFillTint="66"/>
            <w:vAlign w:val="center"/>
          </w:tcPr>
          <w:p w14:paraId="6FDCE31E" w14:textId="1B7BD229" w:rsidR="000777C6" w:rsidRPr="00EF4016" w:rsidRDefault="000777C6" w:rsidP="007E7434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CT</w:t>
            </w:r>
            <w:r w:rsidR="00140CA0" w:rsidRPr="002061BB">
              <w:rPr>
                <w:vertAlign w:val="superscript"/>
              </w:rPr>
              <w:t>3</w:t>
            </w:r>
          </w:p>
        </w:tc>
      </w:tr>
      <w:tr w:rsidR="009B1455" w14:paraId="29C84D18" w14:textId="77777777" w:rsidTr="001B77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pct"/>
            <w:vMerge/>
            <w:shd w:val="clear" w:color="auto" w:fill="CCCCCC" w:themeFill="accent1" w:themeFillTint="66"/>
            <w:vAlign w:val="center"/>
          </w:tcPr>
          <w:p w14:paraId="4A5C62F1" w14:textId="77777777" w:rsidR="000777C6" w:rsidRDefault="000777C6" w:rsidP="004C29B4">
            <w:pPr>
              <w:keepNext/>
              <w:keepLines/>
              <w:spacing w:after="0" w:line="280" w:lineRule="exact"/>
              <w:jc w:val="left"/>
            </w:pPr>
          </w:p>
        </w:tc>
        <w:tc>
          <w:tcPr>
            <w:tcW w:w="1086" w:type="pct"/>
            <w:vMerge/>
            <w:shd w:val="clear" w:color="auto" w:fill="CCCCCC" w:themeFill="accent1" w:themeFillTint="66"/>
            <w:vAlign w:val="center"/>
          </w:tcPr>
          <w:p w14:paraId="554C9D44" w14:textId="77777777" w:rsidR="000777C6" w:rsidRPr="00FB353C" w:rsidRDefault="000777C6" w:rsidP="00DF43D5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62" w:type="pct"/>
            <w:shd w:val="clear" w:color="auto" w:fill="CCCCCC" w:themeFill="accent1" w:themeFillTint="66"/>
            <w:vAlign w:val="center"/>
          </w:tcPr>
          <w:p w14:paraId="773A1676" w14:textId="16A47686" w:rsidR="000777C6" w:rsidRDefault="000777C6" w:rsidP="004C29B4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12%</w:t>
            </w:r>
          </w:p>
        </w:tc>
        <w:tc>
          <w:tcPr>
            <w:tcW w:w="574" w:type="pct"/>
            <w:shd w:val="clear" w:color="auto" w:fill="CCCCCC" w:themeFill="accent1" w:themeFillTint="66"/>
            <w:vAlign w:val="center"/>
          </w:tcPr>
          <w:p w14:paraId="0A7CA821" w14:textId="13948987" w:rsidR="000777C6" w:rsidRDefault="000777C6" w:rsidP="004C29B4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2019</w:t>
            </w:r>
          </w:p>
        </w:tc>
        <w:tc>
          <w:tcPr>
            <w:tcW w:w="965" w:type="pct"/>
            <w:shd w:val="clear" w:color="auto" w:fill="CCCCCC" w:themeFill="accent1" w:themeFillTint="66"/>
            <w:vAlign w:val="center"/>
          </w:tcPr>
          <w:p w14:paraId="6B4AA5D2" w14:textId="0E8015D7" w:rsidR="000777C6" w:rsidRDefault="000777C6" w:rsidP="004C29B4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MA</w:t>
            </w:r>
            <w:r w:rsidR="008E5BFE" w:rsidRPr="007E7434">
              <w:rPr>
                <w:vertAlign w:val="superscript"/>
              </w:rPr>
              <w:t>4</w:t>
            </w:r>
          </w:p>
        </w:tc>
      </w:tr>
      <w:tr w:rsidR="00F97135" w14:paraId="1E53685A" w14:textId="77777777" w:rsidTr="007E7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pct"/>
            <w:vMerge w:val="restart"/>
            <w:shd w:val="clear" w:color="auto" w:fill="auto"/>
            <w:vAlign w:val="center"/>
          </w:tcPr>
          <w:p w14:paraId="1CC14C4D" w14:textId="00D7183F" w:rsidR="00F97135" w:rsidRDefault="00F97135" w:rsidP="007E7434">
            <w:pPr>
              <w:keepNext/>
              <w:keepLines/>
              <w:spacing w:after="0" w:line="280" w:lineRule="exact"/>
              <w:jc w:val="left"/>
            </w:pPr>
            <w:r>
              <w:t>Pipe/tank insulation</w:t>
            </w:r>
          </w:p>
        </w:tc>
        <w:tc>
          <w:tcPr>
            <w:tcW w:w="1086" w:type="pct"/>
            <w:vMerge w:val="restart"/>
            <w:shd w:val="clear" w:color="auto" w:fill="auto"/>
            <w:vAlign w:val="center"/>
          </w:tcPr>
          <w:p w14:paraId="3E98E42A" w14:textId="49CE9A22" w:rsidR="00F97135" w:rsidRPr="000456B9" w:rsidRDefault="00F97135" w:rsidP="007E7434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353C">
              <w:t>28%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0A75EFF6" w14:textId="5D043A5A" w:rsidR="00F97135" w:rsidRDefault="00F97135" w:rsidP="007E7434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28%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69835588" w14:textId="794FA576" w:rsidR="00F97135" w:rsidRPr="00EF4016" w:rsidRDefault="00F97135" w:rsidP="007E7434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</w:t>
            </w:r>
            <w:r w:rsidR="00231875">
              <w:t>4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6E751FD7" w14:textId="2E3E4554" w:rsidR="00F97135" w:rsidRPr="00EF4016" w:rsidRDefault="00F97135" w:rsidP="007E7434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CT</w:t>
            </w:r>
            <w:r w:rsidR="00140CA0" w:rsidRPr="002061BB">
              <w:rPr>
                <w:vertAlign w:val="superscript"/>
              </w:rPr>
              <w:t>3</w:t>
            </w:r>
          </w:p>
        </w:tc>
      </w:tr>
      <w:tr w:rsidR="00F97135" w14:paraId="708EB56D" w14:textId="77777777" w:rsidTr="007E74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pct"/>
            <w:vMerge/>
            <w:shd w:val="clear" w:color="auto" w:fill="auto"/>
            <w:vAlign w:val="center"/>
          </w:tcPr>
          <w:p w14:paraId="22CCC0B9" w14:textId="77777777" w:rsidR="00F97135" w:rsidRDefault="00F97135" w:rsidP="004C29B4">
            <w:pPr>
              <w:keepNext/>
              <w:keepLines/>
              <w:spacing w:after="0" w:line="280" w:lineRule="exact"/>
              <w:jc w:val="left"/>
            </w:pPr>
          </w:p>
        </w:tc>
        <w:tc>
          <w:tcPr>
            <w:tcW w:w="1086" w:type="pct"/>
            <w:vMerge/>
            <w:shd w:val="clear" w:color="auto" w:fill="auto"/>
            <w:vAlign w:val="center"/>
          </w:tcPr>
          <w:p w14:paraId="240A3C7F" w14:textId="77777777" w:rsidR="00F97135" w:rsidRPr="00FB353C" w:rsidRDefault="00F97135" w:rsidP="004C29B4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62" w:type="pct"/>
            <w:shd w:val="clear" w:color="auto" w:fill="auto"/>
            <w:vAlign w:val="center"/>
          </w:tcPr>
          <w:p w14:paraId="37BF8BF6" w14:textId="20951A8F" w:rsidR="00F97135" w:rsidRDefault="00F97135" w:rsidP="004C29B4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21%</w:t>
            </w:r>
            <w:r w:rsidR="000949AC" w:rsidRPr="007E7434">
              <w:rPr>
                <w:vertAlign w:val="superscript"/>
              </w:rPr>
              <w:t>8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4A691C35" w14:textId="5FD0EEDE" w:rsidR="00F97135" w:rsidRDefault="00F97135" w:rsidP="004C29B4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2018-19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3D6BEDCD" w14:textId="1B70206C" w:rsidR="00F97135" w:rsidRDefault="00F97135" w:rsidP="004C29B4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PA (PECO)</w:t>
            </w:r>
            <w:r w:rsidR="00C937D2" w:rsidRPr="007E7434">
              <w:rPr>
                <w:vertAlign w:val="superscript"/>
              </w:rPr>
              <w:t>6</w:t>
            </w:r>
          </w:p>
        </w:tc>
      </w:tr>
      <w:tr w:rsidR="00C211E7" w14:paraId="0C046071" w14:textId="77777777" w:rsidTr="007E7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pct"/>
            <w:vMerge w:val="restart"/>
            <w:shd w:val="clear" w:color="auto" w:fill="CCCCCC" w:themeFill="accent1" w:themeFillTint="66"/>
            <w:vAlign w:val="center"/>
          </w:tcPr>
          <w:p w14:paraId="289E35AD" w14:textId="03C3DC32" w:rsidR="00C211E7" w:rsidRDefault="00C211E7" w:rsidP="007E7434">
            <w:pPr>
              <w:keepNext/>
              <w:keepLines/>
              <w:spacing w:after="0" w:line="280" w:lineRule="exact"/>
              <w:jc w:val="left"/>
            </w:pPr>
            <w:r w:rsidRPr="001E212F">
              <w:t>LEDs</w:t>
            </w:r>
            <w:r w:rsidR="004E5EBA" w:rsidRPr="007E7434">
              <w:rPr>
                <w:vertAlign w:val="superscript"/>
              </w:rPr>
              <w:t>2</w:t>
            </w:r>
          </w:p>
        </w:tc>
        <w:tc>
          <w:tcPr>
            <w:tcW w:w="1086" w:type="pct"/>
            <w:vMerge w:val="restart"/>
            <w:shd w:val="clear" w:color="auto" w:fill="CCCCCC" w:themeFill="accent1" w:themeFillTint="66"/>
            <w:vAlign w:val="center"/>
          </w:tcPr>
          <w:p w14:paraId="587DEF8F" w14:textId="15FBD5E2" w:rsidR="00C211E7" w:rsidRPr="000456B9" w:rsidRDefault="00C211E7" w:rsidP="007E7434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353C">
              <w:t>36%</w:t>
            </w:r>
          </w:p>
        </w:tc>
        <w:tc>
          <w:tcPr>
            <w:tcW w:w="962" w:type="pct"/>
            <w:shd w:val="clear" w:color="auto" w:fill="CCCCCC" w:themeFill="accent1" w:themeFillTint="66"/>
            <w:vAlign w:val="center"/>
          </w:tcPr>
          <w:p w14:paraId="725C2640" w14:textId="04A570D5" w:rsidR="00C211E7" w:rsidRDefault="00C211E7" w:rsidP="007E7434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55%</w:t>
            </w:r>
          </w:p>
        </w:tc>
        <w:tc>
          <w:tcPr>
            <w:tcW w:w="574" w:type="pct"/>
            <w:shd w:val="clear" w:color="auto" w:fill="CCCCCC" w:themeFill="accent1" w:themeFillTint="66"/>
            <w:vAlign w:val="center"/>
          </w:tcPr>
          <w:p w14:paraId="54345544" w14:textId="562EB6C4" w:rsidR="00C211E7" w:rsidRPr="00EF4016" w:rsidRDefault="00C211E7" w:rsidP="007E7434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</w:t>
            </w:r>
            <w:r w:rsidR="00231875">
              <w:t>4</w:t>
            </w:r>
          </w:p>
        </w:tc>
        <w:tc>
          <w:tcPr>
            <w:tcW w:w="965" w:type="pct"/>
            <w:shd w:val="clear" w:color="auto" w:fill="CCCCCC" w:themeFill="accent1" w:themeFillTint="66"/>
            <w:vAlign w:val="center"/>
          </w:tcPr>
          <w:p w14:paraId="76B800D2" w14:textId="452ECAA0" w:rsidR="00C211E7" w:rsidRPr="00EF4016" w:rsidRDefault="00C211E7" w:rsidP="007E7434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CT</w:t>
            </w:r>
            <w:r w:rsidR="00140CA0" w:rsidRPr="002061BB">
              <w:rPr>
                <w:vertAlign w:val="superscript"/>
              </w:rPr>
              <w:t>3</w:t>
            </w:r>
          </w:p>
        </w:tc>
      </w:tr>
      <w:tr w:rsidR="00C211E7" w14:paraId="4A9ED228" w14:textId="77777777" w:rsidTr="007E74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pct"/>
            <w:vMerge/>
            <w:shd w:val="clear" w:color="auto" w:fill="CCCCCC" w:themeFill="accent1" w:themeFillTint="66"/>
            <w:vAlign w:val="center"/>
          </w:tcPr>
          <w:p w14:paraId="0903FB6C" w14:textId="77777777" w:rsidR="00C211E7" w:rsidRPr="00C921EA" w:rsidRDefault="00C211E7" w:rsidP="004C29B4">
            <w:pPr>
              <w:keepNext/>
              <w:keepLines/>
              <w:spacing w:after="0" w:line="280" w:lineRule="exact"/>
              <w:jc w:val="left"/>
              <w:rPr>
                <w:highlight w:val="yellow"/>
              </w:rPr>
            </w:pPr>
          </w:p>
        </w:tc>
        <w:tc>
          <w:tcPr>
            <w:tcW w:w="1086" w:type="pct"/>
            <w:vMerge/>
            <w:shd w:val="clear" w:color="auto" w:fill="CCCCCC" w:themeFill="accent1" w:themeFillTint="66"/>
            <w:vAlign w:val="center"/>
          </w:tcPr>
          <w:p w14:paraId="78D11CA6" w14:textId="77777777" w:rsidR="00C211E7" w:rsidRPr="00FB353C" w:rsidRDefault="00C211E7" w:rsidP="004C29B4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62" w:type="pct"/>
            <w:shd w:val="clear" w:color="auto" w:fill="CCCCCC" w:themeFill="accent1" w:themeFillTint="66"/>
            <w:vAlign w:val="center"/>
          </w:tcPr>
          <w:p w14:paraId="0944F1E9" w14:textId="7AF0166F" w:rsidR="00C211E7" w:rsidRDefault="00C211E7" w:rsidP="004C29B4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53-58%</w:t>
            </w:r>
          </w:p>
        </w:tc>
        <w:tc>
          <w:tcPr>
            <w:tcW w:w="574" w:type="pct"/>
            <w:shd w:val="clear" w:color="auto" w:fill="CCCCCC" w:themeFill="accent1" w:themeFillTint="66"/>
            <w:vAlign w:val="center"/>
          </w:tcPr>
          <w:p w14:paraId="350136CF" w14:textId="32D2F4AE" w:rsidR="00C211E7" w:rsidRDefault="00C211E7" w:rsidP="004C29B4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2018-19</w:t>
            </w:r>
          </w:p>
        </w:tc>
        <w:tc>
          <w:tcPr>
            <w:tcW w:w="965" w:type="pct"/>
            <w:shd w:val="clear" w:color="auto" w:fill="CCCCCC" w:themeFill="accent1" w:themeFillTint="66"/>
            <w:vAlign w:val="center"/>
          </w:tcPr>
          <w:p w14:paraId="0AA081C3" w14:textId="194BD468" w:rsidR="00C211E7" w:rsidRDefault="00C211E7" w:rsidP="004C29B4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PA (PECO)</w:t>
            </w:r>
            <w:r w:rsidR="000949AC" w:rsidRPr="007E7434">
              <w:rPr>
                <w:vertAlign w:val="superscript"/>
              </w:rPr>
              <w:t>6</w:t>
            </w:r>
          </w:p>
        </w:tc>
      </w:tr>
      <w:tr w:rsidR="00E67C8B" w14:paraId="38E441F1" w14:textId="77777777" w:rsidTr="007E7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pct"/>
            <w:vMerge w:val="restart"/>
            <w:shd w:val="clear" w:color="auto" w:fill="auto"/>
            <w:vAlign w:val="center"/>
          </w:tcPr>
          <w:p w14:paraId="195FD3AE" w14:textId="37114ABA" w:rsidR="00E67C8B" w:rsidRPr="00DE01D0" w:rsidRDefault="00E67C8B" w:rsidP="00DE01D0">
            <w:pPr>
              <w:keepNext/>
              <w:keepLines/>
              <w:spacing w:after="0" w:line="280" w:lineRule="exact"/>
              <w:jc w:val="left"/>
              <w:rPr>
                <w:highlight w:val="yellow"/>
              </w:rPr>
            </w:pPr>
            <w:r w:rsidRPr="00DE01D0">
              <w:t>Insulation</w:t>
            </w:r>
          </w:p>
        </w:tc>
        <w:tc>
          <w:tcPr>
            <w:tcW w:w="1086" w:type="pct"/>
            <w:vMerge w:val="restart"/>
            <w:shd w:val="clear" w:color="auto" w:fill="auto"/>
            <w:vAlign w:val="center"/>
          </w:tcPr>
          <w:p w14:paraId="0C4871A9" w14:textId="229A3023" w:rsidR="00E67C8B" w:rsidRPr="00FB353C" w:rsidRDefault="00E67C8B" w:rsidP="003B6182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1CF3">
              <w:t>23%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523D23C1" w14:textId="4C9ED45B" w:rsidR="00E67C8B" w:rsidRDefault="00E67C8B" w:rsidP="00DE01D0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6%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0E918845" w14:textId="4EBEC10E" w:rsidR="00E67C8B" w:rsidRDefault="00E67C8B" w:rsidP="00DE01D0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</w:t>
            </w:r>
            <w:r w:rsidR="00231875">
              <w:t>4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00257ACA" w14:textId="40A5F9D8" w:rsidR="00E67C8B" w:rsidRDefault="00E67C8B" w:rsidP="00DE01D0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CT</w:t>
            </w:r>
            <w:r w:rsidRPr="007E7434">
              <w:rPr>
                <w:vertAlign w:val="superscript"/>
              </w:rPr>
              <w:t>3</w:t>
            </w:r>
          </w:p>
        </w:tc>
      </w:tr>
      <w:tr w:rsidR="00E67C8B" w14:paraId="78218210" w14:textId="77777777" w:rsidTr="007E74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pct"/>
            <w:vMerge/>
            <w:shd w:val="clear" w:color="auto" w:fill="auto"/>
            <w:vAlign w:val="center"/>
          </w:tcPr>
          <w:p w14:paraId="2ED5B59E" w14:textId="77777777" w:rsidR="00E67C8B" w:rsidRPr="00DE01D0" w:rsidRDefault="00E67C8B" w:rsidP="00DE01D0">
            <w:pPr>
              <w:keepNext/>
              <w:keepLines/>
              <w:spacing w:after="0" w:line="280" w:lineRule="exact"/>
              <w:jc w:val="left"/>
            </w:pPr>
          </w:p>
        </w:tc>
        <w:tc>
          <w:tcPr>
            <w:tcW w:w="1086" w:type="pct"/>
            <w:vMerge/>
            <w:shd w:val="clear" w:color="auto" w:fill="auto"/>
            <w:vAlign w:val="center"/>
          </w:tcPr>
          <w:p w14:paraId="57A543AA" w14:textId="77777777" w:rsidR="00E67C8B" w:rsidRPr="009D1CF3" w:rsidRDefault="00E67C8B" w:rsidP="003B6182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62" w:type="pct"/>
            <w:shd w:val="clear" w:color="auto" w:fill="auto"/>
            <w:vAlign w:val="center"/>
          </w:tcPr>
          <w:p w14:paraId="7A21C5B8" w14:textId="4141E686" w:rsidR="00E67C8B" w:rsidRDefault="00E67C8B" w:rsidP="00DE01D0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20%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7CAB126F" w14:textId="460F19E7" w:rsidR="00E67C8B" w:rsidRDefault="00E67C8B" w:rsidP="00DE01D0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2019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49EF306C" w14:textId="41FF51C8" w:rsidR="00E67C8B" w:rsidRDefault="00E67C8B" w:rsidP="00DE01D0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MA</w:t>
            </w:r>
            <w:r w:rsidRPr="007E7434">
              <w:rPr>
                <w:vertAlign w:val="superscript"/>
              </w:rPr>
              <w:t>4</w:t>
            </w:r>
          </w:p>
        </w:tc>
      </w:tr>
      <w:tr w:rsidR="00C001D8" w14:paraId="52630B58" w14:textId="77777777" w:rsidTr="007E7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pct"/>
            <w:vMerge w:val="restart"/>
            <w:shd w:val="clear" w:color="auto" w:fill="CCCCCC" w:themeFill="accent1" w:themeFillTint="66"/>
            <w:vAlign w:val="center"/>
          </w:tcPr>
          <w:p w14:paraId="43157A57" w14:textId="3CB71087" w:rsidR="00C001D8" w:rsidRPr="00DE01D0" w:rsidRDefault="00C001D8" w:rsidP="00DE01D0">
            <w:pPr>
              <w:keepNext/>
              <w:keepLines/>
              <w:spacing w:after="0" w:line="280" w:lineRule="exact"/>
              <w:jc w:val="left"/>
            </w:pPr>
            <w:r w:rsidRPr="00DE01D0">
              <w:t>Smart thermostat</w:t>
            </w:r>
          </w:p>
        </w:tc>
        <w:tc>
          <w:tcPr>
            <w:tcW w:w="1086" w:type="pct"/>
            <w:vMerge w:val="restart"/>
            <w:shd w:val="clear" w:color="auto" w:fill="CCCCCC" w:themeFill="accent1" w:themeFillTint="66"/>
            <w:vAlign w:val="center"/>
          </w:tcPr>
          <w:p w14:paraId="2A032E41" w14:textId="10357467" w:rsidR="00C001D8" w:rsidRPr="00FB353C" w:rsidRDefault="00C001D8" w:rsidP="003B6182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1CF3">
              <w:t>34%</w:t>
            </w:r>
          </w:p>
        </w:tc>
        <w:tc>
          <w:tcPr>
            <w:tcW w:w="962" w:type="pct"/>
            <w:shd w:val="clear" w:color="auto" w:fill="CCCCCC" w:themeFill="accent1" w:themeFillTint="66"/>
            <w:vAlign w:val="center"/>
          </w:tcPr>
          <w:p w14:paraId="57123480" w14:textId="05DA0F89" w:rsidR="00C001D8" w:rsidRDefault="00C001D8" w:rsidP="00DE01D0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26%</w:t>
            </w:r>
          </w:p>
        </w:tc>
        <w:tc>
          <w:tcPr>
            <w:tcW w:w="574" w:type="pct"/>
            <w:shd w:val="clear" w:color="auto" w:fill="CCCCCC" w:themeFill="accent1" w:themeFillTint="66"/>
            <w:vAlign w:val="center"/>
          </w:tcPr>
          <w:p w14:paraId="7074F7E0" w14:textId="1CE9B33E" w:rsidR="00C001D8" w:rsidRDefault="00C001D8" w:rsidP="00DE01D0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2019</w:t>
            </w:r>
          </w:p>
        </w:tc>
        <w:tc>
          <w:tcPr>
            <w:tcW w:w="965" w:type="pct"/>
            <w:shd w:val="clear" w:color="auto" w:fill="CCCCCC" w:themeFill="accent1" w:themeFillTint="66"/>
            <w:vAlign w:val="center"/>
          </w:tcPr>
          <w:p w14:paraId="5256435C" w14:textId="045578E4" w:rsidR="00C001D8" w:rsidRDefault="00C001D8" w:rsidP="00DE01D0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</w:t>
            </w:r>
            <w:r w:rsidR="008E5BFE" w:rsidRPr="007E7434">
              <w:rPr>
                <w:vertAlign w:val="superscript"/>
              </w:rPr>
              <w:t>4</w:t>
            </w:r>
          </w:p>
        </w:tc>
      </w:tr>
      <w:tr w:rsidR="00C001D8" w14:paraId="3BF97F69" w14:textId="77777777" w:rsidTr="00EB58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pct"/>
            <w:vMerge/>
            <w:shd w:val="clear" w:color="auto" w:fill="CCCCCC" w:themeFill="accent1" w:themeFillTint="66"/>
            <w:vAlign w:val="center"/>
          </w:tcPr>
          <w:p w14:paraId="4FBAD257" w14:textId="77777777" w:rsidR="00C001D8" w:rsidRPr="00DE01D0" w:rsidRDefault="00C001D8" w:rsidP="00DE01D0">
            <w:pPr>
              <w:keepNext/>
              <w:keepLines/>
              <w:spacing w:after="0" w:line="280" w:lineRule="exact"/>
              <w:jc w:val="left"/>
            </w:pPr>
          </w:p>
        </w:tc>
        <w:tc>
          <w:tcPr>
            <w:tcW w:w="1086" w:type="pct"/>
            <w:vMerge/>
            <w:shd w:val="clear" w:color="auto" w:fill="CCCCCC" w:themeFill="accent1" w:themeFillTint="66"/>
          </w:tcPr>
          <w:p w14:paraId="4D244319" w14:textId="1A0C9F0C" w:rsidR="00C001D8" w:rsidRPr="009D1CF3" w:rsidRDefault="00C001D8" w:rsidP="00DE01D0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62" w:type="pct"/>
            <w:shd w:val="clear" w:color="auto" w:fill="CCCCCC" w:themeFill="accent1" w:themeFillTint="66"/>
            <w:vAlign w:val="center"/>
          </w:tcPr>
          <w:p w14:paraId="032EFAB7" w14:textId="06F9CBC4" w:rsidR="00C001D8" w:rsidRDefault="00C001D8" w:rsidP="00DE01D0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40%</w:t>
            </w:r>
          </w:p>
        </w:tc>
        <w:tc>
          <w:tcPr>
            <w:tcW w:w="574" w:type="pct"/>
            <w:shd w:val="clear" w:color="auto" w:fill="CCCCCC" w:themeFill="accent1" w:themeFillTint="66"/>
            <w:vAlign w:val="center"/>
          </w:tcPr>
          <w:p w14:paraId="3C54EFC9" w14:textId="421533EA" w:rsidR="00C001D8" w:rsidRDefault="00C001D8" w:rsidP="00DE01D0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2019-20</w:t>
            </w:r>
          </w:p>
        </w:tc>
        <w:tc>
          <w:tcPr>
            <w:tcW w:w="965" w:type="pct"/>
            <w:shd w:val="clear" w:color="auto" w:fill="CCCCCC" w:themeFill="accent1" w:themeFillTint="66"/>
            <w:vAlign w:val="center"/>
          </w:tcPr>
          <w:p w14:paraId="217FB96E" w14:textId="3EC1E2F0" w:rsidR="00C001D8" w:rsidRDefault="00C001D8" w:rsidP="00DE01D0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PA (D</w:t>
            </w:r>
            <w:r w:rsidR="00CC7D0A">
              <w:t>LC</w:t>
            </w:r>
            <w:r>
              <w:t>)</w:t>
            </w:r>
            <w:r w:rsidR="00C937D2" w:rsidRPr="007E7434">
              <w:rPr>
                <w:vertAlign w:val="superscript"/>
              </w:rPr>
              <w:t>7</w:t>
            </w:r>
          </w:p>
        </w:tc>
      </w:tr>
      <w:tr w:rsidR="001B77C9" w14:paraId="621FDDD1" w14:textId="77777777" w:rsidTr="007E7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pct"/>
            <w:shd w:val="clear" w:color="auto" w:fill="auto"/>
            <w:vAlign w:val="center"/>
          </w:tcPr>
          <w:p w14:paraId="5DBF645E" w14:textId="7B8D8F96" w:rsidR="00DE01D0" w:rsidRPr="00DE01D0" w:rsidRDefault="00DE01D0" w:rsidP="00DE01D0">
            <w:pPr>
              <w:keepNext/>
              <w:keepLines/>
              <w:spacing w:after="0" w:line="280" w:lineRule="exact"/>
              <w:jc w:val="left"/>
            </w:pPr>
            <w:r w:rsidRPr="00DE01D0">
              <w:t>Windows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127A5A78" w14:textId="6DBF440B" w:rsidR="00DE01D0" w:rsidRPr="00FB353C" w:rsidRDefault="00DE01D0" w:rsidP="00DE01D0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1141">
              <w:t>33%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7AED6BC8" w14:textId="44A6A30F" w:rsidR="00DE01D0" w:rsidRDefault="006A1986" w:rsidP="00DE01D0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5%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014CCEB9" w14:textId="5603934D" w:rsidR="00DE01D0" w:rsidRDefault="006A1986" w:rsidP="00DE01D0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</w:t>
            </w:r>
            <w:r w:rsidR="00231875">
              <w:t>4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7AA33471" w14:textId="1451C551" w:rsidR="00DE01D0" w:rsidRDefault="006A1986" w:rsidP="00DE01D0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CT</w:t>
            </w:r>
            <w:r w:rsidR="00140CA0" w:rsidRPr="002061BB">
              <w:rPr>
                <w:vertAlign w:val="superscript"/>
              </w:rPr>
              <w:t>3</w:t>
            </w:r>
          </w:p>
        </w:tc>
      </w:tr>
      <w:tr w:rsidR="00C001D8" w14:paraId="48AABBF2" w14:textId="77777777" w:rsidTr="007E74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pct"/>
            <w:vMerge w:val="restart"/>
            <w:shd w:val="clear" w:color="auto" w:fill="CCCCCC" w:themeFill="accent1" w:themeFillTint="66"/>
            <w:vAlign w:val="center"/>
          </w:tcPr>
          <w:p w14:paraId="7AB719D7" w14:textId="58F91153" w:rsidR="00C001D8" w:rsidRPr="00DE01D0" w:rsidRDefault="00C001D8" w:rsidP="00DE01D0">
            <w:pPr>
              <w:keepNext/>
              <w:keepLines/>
              <w:spacing w:after="0" w:line="280" w:lineRule="exact"/>
              <w:jc w:val="left"/>
            </w:pPr>
            <w:r w:rsidRPr="00DE01D0">
              <w:t>Central AC</w:t>
            </w:r>
          </w:p>
        </w:tc>
        <w:tc>
          <w:tcPr>
            <w:tcW w:w="1086" w:type="pct"/>
            <w:vMerge w:val="restart"/>
            <w:shd w:val="clear" w:color="auto" w:fill="CCCCCC" w:themeFill="accent1" w:themeFillTint="66"/>
            <w:vAlign w:val="center"/>
          </w:tcPr>
          <w:p w14:paraId="5D674F2F" w14:textId="5DA255C7" w:rsidR="00C001D8" w:rsidRPr="00FB353C" w:rsidRDefault="00C001D8" w:rsidP="003B6182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61141">
              <w:t>38%</w:t>
            </w:r>
          </w:p>
        </w:tc>
        <w:tc>
          <w:tcPr>
            <w:tcW w:w="962" w:type="pct"/>
            <w:shd w:val="clear" w:color="auto" w:fill="CCCCCC" w:themeFill="accent1" w:themeFillTint="66"/>
            <w:vAlign w:val="center"/>
          </w:tcPr>
          <w:p w14:paraId="5F559537" w14:textId="0BCCB4EB" w:rsidR="00C001D8" w:rsidRDefault="00C001D8" w:rsidP="00DE01D0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17%</w:t>
            </w:r>
          </w:p>
        </w:tc>
        <w:tc>
          <w:tcPr>
            <w:tcW w:w="574" w:type="pct"/>
            <w:shd w:val="clear" w:color="auto" w:fill="CCCCCC" w:themeFill="accent1" w:themeFillTint="66"/>
            <w:vAlign w:val="center"/>
          </w:tcPr>
          <w:p w14:paraId="714A4255" w14:textId="14E80B0B" w:rsidR="00C001D8" w:rsidRDefault="00C001D8" w:rsidP="00DE01D0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201</w:t>
            </w:r>
            <w:r w:rsidR="00231875">
              <w:t>4</w:t>
            </w:r>
          </w:p>
        </w:tc>
        <w:tc>
          <w:tcPr>
            <w:tcW w:w="965" w:type="pct"/>
            <w:shd w:val="clear" w:color="auto" w:fill="CCCCCC" w:themeFill="accent1" w:themeFillTint="66"/>
            <w:vAlign w:val="center"/>
          </w:tcPr>
          <w:p w14:paraId="48DFB189" w14:textId="780D50B0" w:rsidR="00C001D8" w:rsidRDefault="00C001D8" w:rsidP="00DE01D0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CT</w:t>
            </w:r>
            <w:r w:rsidR="00140CA0" w:rsidRPr="002061BB">
              <w:rPr>
                <w:vertAlign w:val="superscript"/>
              </w:rPr>
              <w:t>3</w:t>
            </w:r>
          </w:p>
        </w:tc>
      </w:tr>
      <w:tr w:rsidR="00C001D8" w14:paraId="1D462AEB" w14:textId="77777777" w:rsidTr="00B52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pct"/>
            <w:vMerge/>
            <w:shd w:val="clear" w:color="auto" w:fill="CCCCCC" w:themeFill="accent1" w:themeFillTint="66"/>
            <w:vAlign w:val="center"/>
          </w:tcPr>
          <w:p w14:paraId="00C38057" w14:textId="77777777" w:rsidR="00C001D8" w:rsidRPr="00DE01D0" w:rsidRDefault="00C001D8" w:rsidP="00DE01D0">
            <w:pPr>
              <w:keepNext/>
              <w:keepLines/>
              <w:spacing w:after="0" w:line="280" w:lineRule="exact"/>
              <w:jc w:val="left"/>
            </w:pPr>
          </w:p>
        </w:tc>
        <w:tc>
          <w:tcPr>
            <w:tcW w:w="1086" w:type="pct"/>
            <w:vMerge/>
            <w:shd w:val="clear" w:color="auto" w:fill="CCCCCC" w:themeFill="accent1" w:themeFillTint="66"/>
          </w:tcPr>
          <w:p w14:paraId="671F4C11" w14:textId="77777777" w:rsidR="00C001D8" w:rsidRPr="00A61141" w:rsidRDefault="00C001D8" w:rsidP="00DE01D0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2" w:type="pct"/>
            <w:shd w:val="clear" w:color="auto" w:fill="CCCCCC" w:themeFill="accent1" w:themeFillTint="66"/>
            <w:vAlign w:val="center"/>
          </w:tcPr>
          <w:p w14:paraId="36B60670" w14:textId="41499E55" w:rsidR="00C001D8" w:rsidRDefault="00C001D8" w:rsidP="00DE01D0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35%</w:t>
            </w:r>
          </w:p>
        </w:tc>
        <w:tc>
          <w:tcPr>
            <w:tcW w:w="574" w:type="pct"/>
            <w:shd w:val="clear" w:color="auto" w:fill="CCCCCC" w:themeFill="accent1" w:themeFillTint="66"/>
            <w:vAlign w:val="center"/>
          </w:tcPr>
          <w:p w14:paraId="0021C8F7" w14:textId="675BC6C0" w:rsidR="00C001D8" w:rsidRDefault="00C001D8" w:rsidP="00DE01D0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2019</w:t>
            </w:r>
          </w:p>
        </w:tc>
        <w:tc>
          <w:tcPr>
            <w:tcW w:w="965" w:type="pct"/>
            <w:shd w:val="clear" w:color="auto" w:fill="CCCCCC" w:themeFill="accent1" w:themeFillTint="66"/>
            <w:vAlign w:val="center"/>
          </w:tcPr>
          <w:p w14:paraId="2B2749C7" w14:textId="3E73191E" w:rsidR="00C001D8" w:rsidRDefault="00C001D8" w:rsidP="00DE01D0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</w:t>
            </w:r>
            <w:r w:rsidR="008E5BFE" w:rsidRPr="007E7434">
              <w:rPr>
                <w:vertAlign w:val="superscript"/>
              </w:rPr>
              <w:t>4</w:t>
            </w:r>
          </w:p>
        </w:tc>
      </w:tr>
      <w:tr w:rsidR="00C001D8" w14:paraId="3A3CA421" w14:textId="77777777" w:rsidTr="00B528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pct"/>
            <w:vMerge/>
            <w:shd w:val="clear" w:color="auto" w:fill="CCCCCC" w:themeFill="accent1" w:themeFillTint="66"/>
            <w:vAlign w:val="center"/>
          </w:tcPr>
          <w:p w14:paraId="5C16B43B" w14:textId="77777777" w:rsidR="00C001D8" w:rsidRDefault="00C001D8" w:rsidP="00DE01D0">
            <w:pPr>
              <w:keepNext/>
              <w:keepLines/>
              <w:spacing w:after="0" w:line="280" w:lineRule="exact"/>
              <w:jc w:val="left"/>
            </w:pPr>
          </w:p>
        </w:tc>
        <w:tc>
          <w:tcPr>
            <w:tcW w:w="1086" w:type="pct"/>
            <w:vMerge/>
            <w:shd w:val="clear" w:color="auto" w:fill="CCCCCC" w:themeFill="accent1" w:themeFillTint="66"/>
          </w:tcPr>
          <w:p w14:paraId="6E0D3471" w14:textId="77777777" w:rsidR="00C001D8" w:rsidRDefault="00C001D8" w:rsidP="00DE01D0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62" w:type="pct"/>
            <w:shd w:val="clear" w:color="auto" w:fill="CCCCCC" w:themeFill="accent1" w:themeFillTint="66"/>
            <w:vAlign w:val="center"/>
          </w:tcPr>
          <w:p w14:paraId="0BA1BA4E" w14:textId="5F5DC726" w:rsidR="00C001D8" w:rsidRDefault="00C001D8" w:rsidP="00DE01D0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56%</w:t>
            </w:r>
          </w:p>
        </w:tc>
        <w:tc>
          <w:tcPr>
            <w:tcW w:w="574" w:type="pct"/>
            <w:shd w:val="clear" w:color="auto" w:fill="CCCCCC" w:themeFill="accent1" w:themeFillTint="66"/>
            <w:vAlign w:val="center"/>
          </w:tcPr>
          <w:p w14:paraId="56750180" w14:textId="2655B54D" w:rsidR="00C001D8" w:rsidRDefault="00C001D8" w:rsidP="00DE01D0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2019-20</w:t>
            </w:r>
          </w:p>
        </w:tc>
        <w:tc>
          <w:tcPr>
            <w:tcW w:w="965" w:type="pct"/>
            <w:shd w:val="clear" w:color="auto" w:fill="CCCCCC" w:themeFill="accent1" w:themeFillTint="66"/>
            <w:vAlign w:val="center"/>
          </w:tcPr>
          <w:p w14:paraId="61C76A0F" w14:textId="00AAFD35" w:rsidR="00C001D8" w:rsidRDefault="00C001D8" w:rsidP="00DE01D0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PA (D</w:t>
            </w:r>
            <w:r w:rsidR="00CC7D0A">
              <w:t>LC</w:t>
            </w:r>
            <w:r>
              <w:t>)</w:t>
            </w:r>
            <w:r w:rsidR="00C937D2" w:rsidRPr="002061BB">
              <w:rPr>
                <w:vertAlign w:val="superscript"/>
              </w:rPr>
              <w:t>7</w:t>
            </w:r>
          </w:p>
        </w:tc>
      </w:tr>
      <w:tr w:rsidR="00A56988" w14:paraId="341686A7" w14:textId="77777777" w:rsidTr="007E7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pct"/>
            <w:vMerge w:val="restart"/>
            <w:shd w:val="clear" w:color="auto" w:fill="auto"/>
            <w:vAlign w:val="center"/>
          </w:tcPr>
          <w:p w14:paraId="018D33CB" w14:textId="6EA73E83" w:rsidR="00A56988" w:rsidRPr="00DE01D0" w:rsidRDefault="00A56988" w:rsidP="00DE01D0">
            <w:pPr>
              <w:keepNext/>
              <w:keepLines/>
              <w:spacing w:after="0" w:line="280" w:lineRule="exact"/>
              <w:jc w:val="left"/>
            </w:pPr>
            <w:r>
              <w:t>Heat pumps (any)</w:t>
            </w:r>
          </w:p>
        </w:tc>
        <w:tc>
          <w:tcPr>
            <w:tcW w:w="1086" w:type="pct"/>
            <w:vMerge w:val="restart"/>
            <w:shd w:val="clear" w:color="auto" w:fill="auto"/>
            <w:vAlign w:val="center"/>
          </w:tcPr>
          <w:p w14:paraId="21089FC8" w14:textId="354A2ACA" w:rsidR="00A56988" w:rsidRPr="00A61141" w:rsidRDefault="00A56988" w:rsidP="00B477F3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38%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62E67580" w14:textId="5AC1B5B5" w:rsidR="00A56988" w:rsidRDefault="00A56988" w:rsidP="00DE01D0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31%-34%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3E369D88" w14:textId="6472A1CB" w:rsidR="00A56988" w:rsidRDefault="00A56988" w:rsidP="00DE01D0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2019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50464D76" w14:textId="755C0E8A" w:rsidR="00A56988" w:rsidRDefault="00A56988" w:rsidP="00DE01D0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</w:t>
            </w:r>
            <w:r w:rsidR="008E5BFE" w:rsidRPr="007E7434">
              <w:rPr>
                <w:vertAlign w:val="superscript"/>
              </w:rPr>
              <w:t>4</w:t>
            </w:r>
          </w:p>
        </w:tc>
      </w:tr>
      <w:tr w:rsidR="00A56988" w14:paraId="5A0D0574" w14:textId="77777777" w:rsidTr="007E74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pct"/>
            <w:vMerge/>
            <w:shd w:val="clear" w:color="auto" w:fill="auto"/>
            <w:vAlign w:val="center"/>
          </w:tcPr>
          <w:p w14:paraId="26382698" w14:textId="77777777" w:rsidR="00A56988" w:rsidRDefault="00A56988" w:rsidP="00DE01D0">
            <w:pPr>
              <w:keepNext/>
              <w:keepLines/>
              <w:spacing w:after="0" w:line="280" w:lineRule="exact"/>
              <w:jc w:val="left"/>
            </w:pPr>
          </w:p>
        </w:tc>
        <w:tc>
          <w:tcPr>
            <w:tcW w:w="1086" w:type="pct"/>
            <w:vMerge/>
            <w:shd w:val="clear" w:color="auto" w:fill="auto"/>
            <w:vAlign w:val="center"/>
          </w:tcPr>
          <w:p w14:paraId="532D514F" w14:textId="77777777" w:rsidR="00A56988" w:rsidRDefault="00A56988" w:rsidP="00E67C8B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62" w:type="pct"/>
            <w:shd w:val="clear" w:color="auto" w:fill="auto"/>
            <w:vAlign w:val="center"/>
          </w:tcPr>
          <w:p w14:paraId="0C953778" w14:textId="031D9C86" w:rsidR="00A56988" w:rsidRDefault="00A56988" w:rsidP="00895DA4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25%</w:t>
            </w:r>
            <w:r w:rsidR="000949AC" w:rsidRPr="007E7434">
              <w:rPr>
                <w:vertAlign w:val="superscript"/>
              </w:rPr>
              <w:t>9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537D9C0F" w14:textId="79F772E6" w:rsidR="00A56988" w:rsidRDefault="00A56988" w:rsidP="00DE01D0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201</w:t>
            </w:r>
            <w:r w:rsidR="00231875">
              <w:t>4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14D8BE66" w14:textId="2675A767" w:rsidR="00A56988" w:rsidRDefault="00A56988" w:rsidP="00DE01D0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CT</w:t>
            </w:r>
            <w:r w:rsidR="00140CA0" w:rsidRPr="002061BB">
              <w:rPr>
                <w:vertAlign w:val="superscript"/>
              </w:rPr>
              <w:t>3</w:t>
            </w:r>
          </w:p>
        </w:tc>
      </w:tr>
      <w:tr w:rsidR="00A56988" w14:paraId="0F1AE6F8" w14:textId="77777777" w:rsidTr="007E7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pct"/>
            <w:vMerge/>
            <w:shd w:val="clear" w:color="auto" w:fill="auto"/>
            <w:vAlign w:val="center"/>
          </w:tcPr>
          <w:p w14:paraId="49913BAB" w14:textId="77777777" w:rsidR="00A56988" w:rsidRDefault="00A56988" w:rsidP="00DE01D0">
            <w:pPr>
              <w:keepNext/>
              <w:keepLines/>
              <w:spacing w:after="0" w:line="280" w:lineRule="exact"/>
              <w:jc w:val="left"/>
            </w:pPr>
          </w:p>
        </w:tc>
        <w:tc>
          <w:tcPr>
            <w:tcW w:w="1086" w:type="pct"/>
            <w:vMerge/>
            <w:shd w:val="clear" w:color="auto" w:fill="auto"/>
          </w:tcPr>
          <w:p w14:paraId="63AAE390" w14:textId="77777777" w:rsidR="00A56988" w:rsidRDefault="00A56988" w:rsidP="00DE01D0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2" w:type="pct"/>
            <w:shd w:val="clear" w:color="auto" w:fill="auto"/>
            <w:vAlign w:val="center"/>
          </w:tcPr>
          <w:p w14:paraId="2DE9005A" w14:textId="17D1CCFC" w:rsidR="00A56988" w:rsidRDefault="00A56988" w:rsidP="00DE01D0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40%</w:t>
            </w:r>
            <w:r w:rsidR="00B8506A">
              <w:t>-42%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5EBF4BE5" w14:textId="12B38669" w:rsidR="00A56988" w:rsidRDefault="00A56988" w:rsidP="00DE01D0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2018-19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6BCF69CE" w14:textId="1BB5139D" w:rsidR="00A56988" w:rsidRDefault="00A56988" w:rsidP="00DE01D0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 (PECO)</w:t>
            </w:r>
            <w:r w:rsidR="000949AC" w:rsidRPr="007E7434">
              <w:rPr>
                <w:vertAlign w:val="superscript"/>
              </w:rPr>
              <w:t>6</w:t>
            </w:r>
          </w:p>
        </w:tc>
      </w:tr>
      <w:tr w:rsidR="00A56988" w14:paraId="43515EE9" w14:textId="77777777" w:rsidTr="007E74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pct"/>
            <w:vMerge/>
            <w:shd w:val="clear" w:color="auto" w:fill="auto"/>
            <w:vAlign w:val="center"/>
          </w:tcPr>
          <w:p w14:paraId="2AC6BC94" w14:textId="77777777" w:rsidR="00A56988" w:rsidRDefault="00A56988" w:rsidP="00DE01D0">
            <w:pPr>
              <w:keepNext/>
              <w:keepLines/>
              <w:spacing w:after="0" w:line="280" w:lineRule="exact"/>
              <w:jc w:val="left"/>
            </w:pPr>
          </w:p>
        </w:tc>
        <w:tc>
          <w:tcPr>
            <w:tcW w:w="1086" w:type="pct"/>
            <w:vMerge/>
            <w:shd w:val="clear" w:color="auto" w:fill="auto"/>
          </w:tcPr>
          <w:p w14:paraId="253D5182" w14:textId="77777777" w:rsidR="00A56988" w:rsidRDefault="00A56988" w:rsidP="00DE01D0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62" w:type="pct"/>
            <w:shd w:val="clear" w:color="auto" w:fill="auto"/>
            <w:vAlign w:val="center"/>
          </w:tcPr>
          <w:p w14:paraId="3C6CB69A" w14:textId="326977EA" w:rsidR="00A56988" w:rsidRDefault="00A56988" w:rsidP="00DE01D0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63%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31A60BA3" w14:textId="6B0053BB" w:rsidR="00A56988" w:rsidRDefault="00A56988" w:rsidP="00DE01D0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2019-20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4A192FF3" w14:textId="50C84583" w:rsidR="00A56988" w:rsidRDefault="00A56988" w:rsidP="00DE01D0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PA (D</w:t>
            </w:r>
            <w:r w:rsidR="00CC7D0A">
              <w:t>LC</w:t>
            </w:r>
            <w:r>
              <w:t>)</w:t>
            </w:r>
            <w:r w:rsidR="000949AC">
              <w:rPr>
                <w:vertAlign w:val="superscript"/>
              </w:rPr>
              <w:t>7</w:t>
            </w:r>
          </w:p>
        </w:tc>
      </w:tr>
      <w:tr w:rsidR="001B77C9" w14:paraId="09930969" w14:textId="77777777" w:rsidTr="007E7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pct"/>
            <w:vMerge w:val="restart"/>
            <w:shd w:val="clear" w:color="auto" w:fill="CCCCCC" w:themeFill="accent1" w:themeFillTint="66"/>
            <w:vAlign w:val="center"/>
          </w:tcPr>
          <w:p w14:paraId="37A07489" w14:textId="3A65D672" w:rsidR="00694D3B" w:rsidRDefault="00694D3B" w:rsidP="00DE01D0">
            <w:pPr>
              <w:keepNext/>
              <w:keepLines/>
              <w:spacing w:after="0" w:line="280" w:lineRule="exact"/>
              <w:jc w:val="left"/>
            </w:pPr>
            <w:r>
              <w:t>Refrigerator/freezer</w:t>
            </w:r>
          </w:p>
        </w:tc>
        <w:tc>
          <w:tcPr>
            <w:tcW w:w="1086" w:type="pct"/>
            <w:vMerge w:val="restart"/>
            <w:shd w:val="clear" w:color="auto" w:fill="CCCCCC" w:themeFill="accent1" w:themeFillTint="66"/>
            <w:vAlign w:val="center"/>
          </w:tcPr>
          <w:p w14:paraId="21A36E88" w14:textId="7470DEE8" w:rsidR="00694D3B" w:rsidRDefault="00694D3B" w:rsidP="009435D6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47%</w:t>
            </w:r>
          </w:p>
        </w:tc>
        <w:tc>
          <w:tcPr>
            <w:tcW w:w="962" w:type="pct"/>
            <w:shd w:val="clear" w:color="auto" w:fill="CCCCCC" w:themeFill="accent1" w:themeFillTint="66"/>
            <w:vAlign w:val="center"/>
          </w:tcPr>
          <w:p w14:paraId="15D42B2E" w14:textId="7ECF1B6B" w:rsidR="00694D3B" w:rsidRDefault="00694D3B" w:rsidP="00DE01D0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31%-48%</w:t>
            </w:r>
          </w:p>
        </w:tc>
        <w:tc>
          <w:tcPr>
            <w:tcW w:w="574" w:type="pct"/>
            <w:shd w:val="clear" w:color="auto" w:fill="CCCCCC" w:themeFill="accent1" w:themeFillTint="66"/>
            <w:vAlign w:val="center"/>
          </w:tcPr>
          <w:p w14:paraId="07893A0A" w14:textId="59ADCCFA" w:rsidR="00694D3B" w:rsidRDefault="00694D3B" w:rsidP="00DE01D0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</w:t>
            </w:r>
            <w:r w:rsidR="00231875">
              <w:t>4</w:t>
            </w:r>
          </w:p>
        </w:tc>
        <w:tc>
          <w:tcPr>
            <w:tcW w:w="965" w:type="pct"/>
            <w:shd w:val="clear" w:color="auto" w:fill="CCCCCC" w:themeFill="accent1" w:themeFillTint="66"/>
            <w:vAlign w:val="center"/>
          </w:tcPr>
          <w:p w14:paraId="36843932" w14:textId="41D6528A" w:rsidR="00694D3B" w:rsidRDefault="00694D3B" w:rsidP="00DE01D0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CT</w:t>
            </w:r>
            <w:r w:rsidR="00140CA0" w:rsidRPr="002061BB">
              <w:rPr>
                <w:vertAlign w:val="superscript"/>
              </w:rPr>
              <w:t>3</w:t>
            </w:r>
          </w:p>
        </w:tc>
      </w:tr>
      <w:tr w:rsidR="001B77C9" w14:paraId="763E1017" w14:textId="77777777" w:rsidTr="001B77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pct"/>
            <w:vMerge/>
            <w:shd w:val="clear" w:color="auto" w:fill="CCCCCC" w:themeFill="accent1" w:themeFillTint="66"/>
            <w:vAlign w:val="center"/>
          </w:tcPr>
          <w:p w14:paraId="2A687BE5" w14:textId="77777777" w:rsidR="00694D3B" w:rsidRDefault="00694D3B" w:rsidP="00DE01D0">
            <w:pPr>
              <w:keepNext/>
              <w:keepLines/>
              <w:spacing w:after="0" w:line="280" w:lineRule="exact"/>
              <w:jc w:val="left"/>
            </w:pPr>
          </w:p>
        </w:tc>
        <w:tc>
          <w:tcPr>
            <w:tcW w:w="1086" w:type="pct"/>
            <w:vMerge/>
            <w:shd w:val="clear" w:color="auto" w:fill="CCCCCC" w:themeFill="accent1" w:themeFillTint="66"/>
          </w:tcPr>
          <w:p w14:paraId="0565C13C" w14:textId="45F97595" w:rsidR="00694D3B" w:rsidRDefault="00694D3B" w:rsidP="00DE01D0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62" w:type="pct"/>
            <w:shd w:val="clear" w:color="auto" w:fill="CCCCCC" w:themeFill="accent1" w:themeFillTint="66"/>
            <w:vAlign w:val="center"/>
          </w:tcPr>
          <w:p w14:paraId="2BB2C163" w14:textId="22495230" w:rsidR="00694D3B" w:rsidRDefault="00694D3B" w:rsidP="00DE01D0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52%</w:t>
            </w:r>
          </w:p>
        </w:tc>
        <w:tc>
          <w:tcPr>
            <w:tcW w:w="574" w:type="pct"/>
            <w:shd w:val="clear" w:color="auto" w:fill="CCCCCC" w:themeFill="accent1" w:themeFillTint="66"/>
            <w:vAlign w:val="center"/>
          </w:tcPr>
          <w:p w14:paraId="03B1BB59" w14:textId="7AF88322" w:rsidR="00694D3B" w:rsidRDefault="00694D3B" w:rsidP="00DE01D0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2018-19</w:t>
            </w:r>
          </w:p>
        </w:tc>
        <w:tc>
          <w:tcPr>
            <w:tcW w:w="965" w:type="pct"/>
            <w:shd w:val="clear" w:color="auto" w:fill="CCCCCC" w:themeFill="accent1" w:themeFillTint="66"/>
            <w:vAlign w:val="center"/>
          </w:tcPr>
          <w:p w14:paraId="546D0AA4" w14:textId="71226AD8" w:rsidR="00694D3B" w:rsidRDefault="00694D3B" w:rsidP="00DE01D0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PA (PECO)</w:t>
            </w:r>
          </w:p>
        </w:tc>
      </w:tr>
      <w:tr w:rsidR="001B77C9" w14:paraId="01E963C8" w14:textId="77777777" w:rsidTr="001B77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pct"/>
            <w:vMerge/>
            <w:shd w:val="clear" w:color="auto" w:fill="CCCCCC" w:themeFill="accent1" w:themeFillTint="66"/>
            <w:vAlign w:val="center"/>
          </w:tcPr>
          <w:p w14:paraId="65D6AE38" w14:textId="77777777" w:rsidR="00694D3B" w:rsidRDefault="00694D3B" w:rsidP="00DE01D0">
            <w:pPr>
              <w:keepNext/>
              <w:keepLines/>
              <w:spacing w:after="0" w:line="280" w:lineRule="exact"/>
              <w:jc w:val="left"/>
            </w:pPr>
          </w:p>
        </w:tc>
        <w:tc>
          <w:tcPr>
            <w:tcW w:w="1086" w:type="pct"/>
            <w:vMerge/>
            <w:shd w:val="clear" w:color="auto" w:fill="CCCCCC" w:themeFill="accent1" w:themeFillTint="66"/>
          </w:tcPr>
          <w:p w14:paraId="77E67800" w14:textId="77777777" w:rsidR="00694D3B" w:rsidRDefault="00694D3B" w:rsidP="00DE01D0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2" w:type="pct"/>
            <w:shd w:val="clear" w:color="auto" w:fill="CCCCCC" w:themeFill="accent1" w:themeFillTint="66"/>
            <w:vAlign w:val="center"/>
          </w:tcPr>
          <w:p w14:paraId="5F969A26" w14:textId="4D0E12D4" w:rsidR="00694D3B" w:rsidRDefault="00694D3B" w:rsidP="00DE01D0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68%</w:t>
            </w:r>
          </w:p>
        </w:tc>
        <w:tc>
          <w:tcPr>
            <w:tcW w:w="574" w:type="pct"/>
            <w:shd w:val="clear" w:color="auto" w:fill="CCCCCC" w:themeFill="accent1" w:themeFillTint="66"/>
            <w:vAlign w:val="center"/>
          </w:tcPr>
          <w:p w14:paraId="2FA49147" w14:textId="0FB02215" w:rsidR="00694D3B" w:rsidRDefault="00694D3B" w:rsidP="00DE01D0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2019-20</w:t>
            </w:r>
          </w:p>
        </w:tc>
        <w:tc>
          <w:tcPr>
            <w:tcW w:w="965" w:type="pct"/>
            <w:shd w:val="clear" w:color="auto" w:fill="CCCCCC" w:themeFill="accent1" w:themeFillTint="66"/>
            <w:vAlign w:val="center"/>
          </w:tcPr>
          <w:p w14:paraId="576612BB" w14:textId="1FF31A4C" w:rsidR="00694D3B" w:rsidRDefault="00694D3B" w:rsidP="00DE01D0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 (D</w:t>
            </w:r>
            <w:r w:rsidR="00CC7D0A">
              <w:t>LC</w:t>
            </w:r>
            <w:r>
              <w:t>)</w:t>
            </w:r>
            <w:r w:rsidR="00C937D2" w:rsidRPr="002061BB">
              <w:rPr>
                <w:vertAlign w:val="superscript"/>
              </w:rPr>
              <w:t>7</w:t>
            </w:r>
          </w:p>
        </w:tc>
      </w:tr>
      <w:tr w:rsidR="00A56988" w14:paraId="01457026" w14:textId="77777777" w:rsidTr="007E74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pct"/>
            <w:shd w:val="clear" w:color="auto" w:fill="auto"/>
            <w:vAlign w:val="center"/>
          </w:tcPr>
          <w:p w14:paraId="1C199109" w14:textId="32F20B7B" w:rsidR="00EA6275" w:rsidRDefault="00EA6275" w:rsidP="00DE01D0">
            <w:pPr>
              <w:keepNext/>
              <w:keepLines/>
              <w:spacing w:after="0" w:line="280" w:lineRule="exact"/>
              <w:jc w:val="left"/>
            </w:pPr>
            <w:r>
              <w:t>Clothes washer</w:t>
            </w:r>
          </w:p>
        </w:tc>
        <w:tc>
          <w:tcPr>
            <w:tcW w:w="1086" w:type="pct"/>
            <w:shd w:val="clear" w:color="auto" w:fill="auto"/>
          </w:tcPr>
          <w:p w14:paraId="1BDDCC54" w14:textId="1F8C5B43" w:rsidR="00EA6275" w:rsidRDefault="00243515" w:rsidP="00DE01D0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42%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26F485FD" w14:textId="520B764A" w:rsidR="00EA6275" w:rsidRDefault="005B3814" w:rsidP="00DE01D0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65%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0DC4FBBA" w14:textId="40FCAA55" w:rsidR="00EA6275" w:rsidRDefault="00C921EA" w:rsidP="00DE01D0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2018-19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58F9C69E" w14:textId="0623C1F6" w:rsidR="00EA6275" w:rsidRDefault="00C921EA" w:rsidP="00DE01D0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PA (PECO)</w:t>
            </w:r>
            <w:r w:rsidR="00C937D2" w:rsidRPr="007E7434">
              <w:rPr>
                <w:vertAlign w:val="superscript"/>
              </w:rPr>
              <w:t>6</w:t>
            </w:r>
          </w:p>
        </w:tc>
      </w:tr>
      <w:tr w:rsidR="00C211E7" w14:paraId="625EA4D0" w14:textId="77777777" w:rsidTr="007E7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pct"/>
            <w:vMerge w:val="restart"/>
            <w:shd w:val="clear" w:color="auto" w:fill="CCCCCC" w:themeFill="accent1" w:themeFillTint="66"/>
            <w:vAlign w:val="center"/>
          </w:tcPr>
          <w:p w14:paraId="7E74BD3D" w14:textId="7C7F27B5" w:rsidR="00C211E7" w:rsidRDefault="00C211E7" w:rsidP="00DE01D0">
            <w:pPr>
              <w:keepNext/>
              <w:keepLines/>
              <w:spacing w:after="0" w:line="280" w:lineRule="exact"/>
              <w:jc w:val="left"/>
            </w:pPr>
            <w:r>
              <w:t>Dehumidifier</w:t>
            </w:r>
          </w:p>
        </w:tc>
        <w:tc>
          <w:tcPr>
            <w:tcW w:w="1086" w:type="pct"/>
            <w:vMerge w:val="restart"/>
            <w:shd w:val="clear" w:color="auto" w:fill="CCCCCC" w:themeFill="accent1" w:themeFillTint="66"/>
            <w:vAlign w:val="center"/>
          </w:tcPr>
          <w:p w14:paraId="5F8CBEE6" w14:textId="2FFE8CC4" w:rsidR="00C211E7" w:rsidRDefault="00C211E7" w:rsidP="00C211E7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43%</w:t>
            </w:r>
          </w:p>
        </w:tc>
        <w:tc>
          <w:tcPr>
            <w:tcW w:w="962" w:type="pct"/>
            <w:shd w:val="clear" w:color="auto" w:fill="CCCCCC" w:themeFill="accent1" w:themeFillTint="66"/>
            <w:vAlign w:val="center"/>
          </w:tcPr>
          <w:p w14:paraId="35847391" w14:textId="0C390980" w:rsidR="00C211E7" w:rsidRDefault="00C211E7" w:rsidP="00DE01D0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42%</w:t>
            </w:r>
          </w:p>
        </w:tc>
        <w:tc>
          <w:tcPr>
            <w:tcW w:w="574" w:type="pct"/>
            <w:shd w:val="clear" w:color="auto" w:fill="CCCCCC" w:themeFill="accent1" w:themeFillTint="66"/>
            <w:vAlign w:val="center"/>
          </w:tcPr>
          <w:p w14:paraId="35525EBD" w14:textId="2C306A73" w:rsidR="00C211E7" w:rsidRDefault="00C211E7" w:rsidP="00DE01D0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2019</w:t>
            </w:r>
          </w:p>
        </w:tc>
        <w:tc>
          <w:tcPr>
            <w:tcW w:w="965" w:type="pct"/>
            <w:shd w:val="clear" w:color="auto" w:fill="CCCCCC" w:themeFill="accent1" w:themeFillTint="66"/>
            <w:vAlign w:val="center"/>
          </w:tcPr>
          <w:p w14:paraId="34094311" w14:textId="106412FE" w:rsidR="00C211E7" w:rsidRDefault="00C211E7" w:rsidP="00DE01D0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</w:t>
            </w:r>
            <w:r w:rsidR="001623F1" w:rsidRPr="007E7434">
              <w:rPr>
                <w:vertAlign w:val="superscript"/>
              </w:rPr>
              <w:t>5</w:t>
            </w:r>
          </w:p>
        </w:tc>
      </w:tr>
      <w:tr w:rsidR="00C211E7" w14:paraId="5F5CD073" w14:textId="77777777" w:rsidTr="007E74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pct"/>
            <w:vMerge/>
            <w:shd w:val="clear" w:color="auto" w:fill="CCCCCC" w:themeFill="accent1" w:themeFillTint="66"/>
            <w:vAlign w:val="center"/>
          </w:tcPr>
          <w:p w14:paraId="00FC1645" w14:textId="77777777" w:rsidR="00C211E7" w:rsidRDefault="00C211E7" w:rsidP="00DE01D0">
            <w:pPr>
              <w:keepNext/>
              <w:keepLines/>
              <w:spacing w:after="0" w:line="280" w:lineRule="exact"/>
              <w:jc w:val="left"/>
            </w:pPr>
          </w:p>
        </w:tc>
        <w:tc>
          <w:tcPr>
            <w:tcW w:w="1086" w:type="pct"/>
            <w:vMerge/>
            <w:shd w:val="clear" w:color="auto" w:fill="CCCCCC" w:themeFill="accent1" w:themeFillTint="66"/>
          </w:tcPr>
          <w:p w14:paraId="61EF168D" w14:textId="77777777" w:rsidR="00C211E7" w:rsidRDefault="00C211E7" w:rsidP="00DE01D0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62" w:type="pct"/>
            <w:shd w:val="clear" w:color="auto" w:fill="CCCCCC" w:themeFill="accent1" w:themeFillTint="66"/>
            <w:vAlign w:val="center"/>
          </w:tcPr>
          <w:p w14:paraId="2C4115FD" w14:textId="05CDCF9D" w:rsidR="00C211E7" w:rsidRDefault="00C211E7" w:rsidP="00DE01D0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48%</w:t>
            </w:r>
          </w:p>
        </w:tc>
        <w:tc>
          <w:tcPr>
            <w:tcW w:w="574" w:type="pct"/>
            <w:shd w:val="clear" w:color="auto" w:fill="CCCCCC" w:themeFill="accent1" w:themeFillTint="66"/>
            <w:vAlign w:val="center"/>
          </w:tcPr>
          <w:p w14:paraId="57F54607" w14:textId="29E7ACEB" w:rsidR="00C211E7" w:rsidRDefault="00C211E7" w:rsidP="00DE01D0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2019-20</w:t>
            </w:r>
          </w:p>
        </w:tc>
        <w:tc>
          <w:tcPr>
            <w:tcW w:w="965" w:type="pct"/>
            <w:shd w:val="clear" w:color="auto" w:fill="CCCCCC" w:themeFill="accent1" w:themeFillTint="66"/>
            <w:vAlign w:val="center"/>
          </w:tcPr>
          <w:p w14:paraId="778C6071" w14:textId="014E0BB5" w:rsidR="00C211E7" w:rsidRDefault="00C211E7" w:rsidP="00DE01D0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PA (D</w:t>
            </w:r>
            <w:r w:rsidR="00CC7D0A">
              <w:t>LC</w:t>
            </w:r>
            <w:r>
              <w:t>)</w:t>
            </w:r>
            <w:r w:rsidR="00C937D2" w:rsidRPr="002061BB">
              <w:rPr>
                <w:vertAlign w:val="superscript"/>
              </w:rPr>
              <w:t>7</w:t>
            </w:r>
          </w:p>
        </w:tc>
      </w:tr>
      <w:tr w:rsidR="006D1B62" w14:paraId="0EE1D6FD" w14:textId="77777777" w:rsidTr="007E7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auto"/>
            <w:vAlign w:val="center"/>
          </w:tcPr>
          <w:p w14:paraId="774EED3D" w14:textId="77777777" w:rsidR="006D1B62" w:rsidRDefault="006D1B62" w:rsidP="006D1B62">
            <w:pPr>
              <w:keepNext/>
              <w:keepLines/>
              <w:spacing w:after="0" w:line="240" w:lineRule="auto"/>
              <w:jc w:val="left"/>
              <w:rPr>
                <w:sz w:val="18"/>
                <w:szCs w:val="18"/>
              </w:rPr>
            </w:pPr>
            <w:r w:rsidRPr="0061164A">
              <w:rPr>
                <w:sz w:val="18"/>
                <w:szCs w:val="18"/>
                <w:vertAlign w:val="superscript"/>
              </w:rPr>
              <w:t xml:space="preserve">1 </w:t>
            </w:r>
            <w:r w:rsidRPr="0061164A">
              <w:rPr>
                <w:sz w:val="18"/>
                <w:szCs w:val="18"/>
              </w:rPr>
              <w:t xml:space="preserve">Unweighted </w:t>
            </w:r>
            <w:r>
              <w:rPr>
                <w:sz w:val="18"/>
                <w:szCs w:val="18"/>
              </w:rPr>
              <w:t>due to lack of savings for this measure in program data; savings for door and/or window weatherization measures were presumed to be included with air sealing savings.</w:t>
            </w:r>
          </w:p>
          <w:p w14:paraId="3866624E" w14:textId="2DBDADBA" w:rsidR="004E5EBA" w:rsidRDefault="004E5EBA" w:rsidP="006D1B62">
            <w:pPr>
              <w:keepNext/>
              <w:keepLines/>
              <w:spacing w:after="0" w:line="240" w:lineRule="auto"/>
              <w:jc w:val="left"/>
              <w:rPr>
                <w:sz w:val="18"/>
                <w:szCs w:val="18"/>
              </w:rPr>
            </w:pPr>
            <w:r w:rsidRPr="007E7434"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LED free-ridership values and benchmarks are shown for informational purposes only; </w:t>
            </w:r>
            <w:r w:rsidR="00701223">
              <w:rPr>
                <w:sz w:val="18"/>
                <w:szCs w:val="18"/>
              </w:rPr>
              <w:t xml:space="preserve">the workplan specifies that </w:t>
            </w:r>
            <w:r w:rsidR="00CE7021">
              <w:rPr>
                <w:sz w:val="18"/>
                <w:szCs w:val="18"/>
              </w:rPr>
              <w:t>the study will interpret the result of the billing analysis for lighting as net savings</w:t>
            </w:r>
            <w:r w:rsidR="00637DD5">
              <w:rPr>
                <w:sz w:val="18"/>
                <w:szCs w:val="18"/>
              </w:rPr>
              <w:t>.</w:t>
            </w:r>
          </w:p>
          <w:p w14:paraId="2D2AB43E" w14:textId="372B5F06" w:rsidR="00140CA0" w:rsidRDefault="00140CA0" w:rsidP="006D1B62">
            <w:pPr>
              <w:keepNext/>
              <w:keepLines/>
              <w:spacing w:after="0" w:line="240" w:lineRule="auto"/>
              <w:jc w:val="left"/>
              <w:rPr>
                <w:sz w:val="18"/>
                <w:szCs w:val="18"/>
              </w:rPr>
            </w:pPr>
            <w:r w:rsidRPr="007E7434"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="003B3955">
              <w:rPr>
                <w:sz w:val="18"/>
                <w:szCs w:val="18"/>
              </w:rPr>
              <w:t xml:space="preserve">NMR Group, Inc. April 13, 2016. “Project R4 HES/HES-IE Process Evaluation and R31 Real-time Research.” </w:t>
            </w:r>
            <w:hyperlink r:id="rId12" w:history="1">
              <w:r w:rsidR="003B3955" w:rsidRPr="007E7434">
                <w:rPr>
                  <w:rStyle w:val="Hyperlink"/>
                  <w:sz w:val="18"/>
                  <w:szCs w:val="18"/>
                </w:rPr>
                <w:t>Microsoft Word - R4HES-HESIE_Process_Eval2016_0413_Final (energizect.com)</w:t>
              </w:r>
            </w:hyperlink>
            <w:r w:rsidR="003B3955" w:rsidRPr="007E7434">
              <w:rPr>
                <w:sz w:val="18"/>
                <w:szCs w:val="18"/>
              </w:rPr>
              <w:t>.</w:t>
            </w:r>
            <w:r w:rsidRPr="007E7434">
              <w:rPr>
                <w:sz w:val="14"/>
                <w:szCs w:val="14"/>
              </w:rPr>
              <w:t xml:space="preserve"> </w:t>
            </w:r>
          </w:p>
          <w:p w14:paraId="2B167A31" w14:textId="203408B3" w:rsidR="00410737" w:rsidRPr="007E7434" w:rsidRDefault="00410737" w:rsidP="006D1B62">
            <w:pPr>
              <w:keepNext/>
              <w:keepLines/>
              <w:spacing w:after="0" w:line="240" w:lineRule="auto"/>
              <w:jc w:val="left"/>
              <w:rPr>
                <w:sz w:val="14"/>
                <w:szCs w:val="14"/>
              </w:rPr>
            </w:pPr>
            <w:r w:rsidRPr="007E7434">
              <w:rPr>
                <w:sz w:val="18"/>
                <w:szCs w:val="18"/>
                <w:vertAlign w:val="superscript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DC274E">
              <w:rPr>
                <w:sz w:val="18"/>
                <w:szCs w:val="18"/>
              </w:rPr>
              <w:t>Guidehouse</w:t>
            </w:r>
            <w:proofErr w:type="spellEnd"/>
            <w:r w:rsidR="00DC274E">
              <w:rPr>
                <w:sz w:val="18"/>
                <w:szCs w:val="18"/>
              </w:rPr>
              <w:t xml:space="preserve"> Inc. October 8, 2021. </w:t>
            </w:r>
            <w:r w:rsidR="008E5BFE">
              <w:rPr>
                <w:sz w:val="18"/>
                <w:szCs w:val="18"/>
              </w:rPr>
              <w:t>“</w:t>
            </w:r>
            <w:r w:rsidR="00DC274E">
              <w:rPr>
                <w:sz w:val="18"/>
                <w:szCs w:val="18"/>
              </w:rPr>
              <w:t>Massachusetts Residential Programs Net-to-Gross Research of RCD and Select Products Measures.</w:t>
            </w:r>
            <w:r w:rsidR="008E5BFE">
              <w:rPr>
                <w:sz w:val="18"/>
                <w:szCs w:val="18"/>
              </w:rPr>
              <w:t xml:space="preserve">” </w:t>
            </w:r>
            <w:hyperlink r:id="rId13" w:history="1">
              <w:r w:rsidR="008E5BFE" w:rsidRPr="007E7434">
                <w:rPr>
                  <w:rStyle w:val="Hyperlink"/>
                  <w:sz w:val="18"/>
                  <w:szCs w:val="18"/>
                </w:rPr>
                <w:t>MA20R28-B-NTGRCDP Report (ma-eeac.org)</w:t>
              </w:r>
            </w:hyperlink>
            <w:r w:rsidR="008E5BFE" w:rsidRPr="007E7434">
              <w:rPr>
                <w:sz w:val="18"/>
                <w:szCs w:val="18"/>
              </w:rPr>
              <w:t>.</w:t>
            </w:r>
          </w:p>
          <w:p w14:paraId="0CBA7A94" w14:textId="30A76999" w:rsidR="00410737" w:rsidRDefault="00410737" w:rsidP="006D1B62">
            <w:pPr>
              <w:keepNext/>
              <w:keepLines/>
              <w:spacing w:after="0" w:line="240" w:lineRule="auto"/>
              <w:jc w:val="left"/>
              <w:rPr>
                <w:sz w:val="18"/>
                <w:szCs w:val="18"/>
              </w:rPr>
            </w:pPr>
            <w:r w:rsidRPr="007E7434">
              <w:rPr>
                <w:sz w:val="18"/>
                <w:szCs w:val="18"/>
                <w:vertAlign w:val="superscript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  <w:r w:rsidR="00BB3E6A">
              <w:rPr>
                <w:sz w:val="18"/>
                <w:szCs w:val="18"/>
              </w:rPr>
              <w:t xml:space="preserve">NMR Group, Inc. and DNV, Inc. </w:t>
            </w:r>
            <w:r w:rsidR="002807AB">
              <w:rPr>
                <w:sz w:val="18"/>
                <w:szCs w:val="18"/>
              </w:rPr>
              <w:t xml:space="preserve">June 8, 2021. “Residential Products Net-to-Gross Study (MA20X04-E-PRODNTG). </w:t>
            </w:r>
            <w:hyperlink r:id="rId14" w:history="1">
              <w:r w:rsidR="002807AB" w:rsidRPr="007E7434">
                <w:rPr>
                  <w:rStyle w:val="Hyperlink"/>
                  <w:sz w:val="18"/>
                  <w:szCs w:val="18"/>
                </w:rPr>
                <w:t>MA20X04-E-PRODNTG_Res-Products-NTG-Report_FINAL_2021.06.08.pdf (ma-eeac.org)</w:t>
              </w:r>
            </w:hyperlink>
            <w:r w:rsidR="002807AB" w:rsidRPr="007E7434">
              <w:rPr>
                <w:sz w:val="18"/>
                <w:szCs w:val="18"/>
              </w:rPr>
              <w:t>.</w:t>
            </w:r>
          </w:p>
          <w:p w14:paraId="27EF95B8" w14:textId="5FB97CB7" w:rsidR="000949AC" w:rsidRDefault="000949AC" w:rsidP="006D1B62">
            <w:pPr>
              <w:keepNext/>
              <w:keepLines/>
              <w:spacing w:after="0" w:line="240" w:lineRule="auto"/>
              <w:jc w:val="left"/>
              <w:rPr>
                <w:sz w:val="18"/>
                <w:szCs w:val="18"/>
              </w:rPr>
            </w:pPr>
            <w:r w:rsidRPr="007E7434">
              <w:rPr>
                <w:sz w:val="18"/>
                <w:szCs w:val="18"/>
                <w:vertAlign w:val="superscript"/>
              </w:rPr>
              <w:t>6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DB72D0">
              <w:rPr>
                <w:sz w:val="18"/>
                <w:szCs w:val="18"/>
              </w:rPr>
              <w:t>Guidehouse</w:t>
            </w:r>
            <w:proofErr w:type="spellEnd"/>
            <w:r w:rsidR="00DB72D0">
              <w:rPr>
                <w:sz w:val="18"/>
                <w:szCs w:val="18"/>
              </w:rPr>
              <w:t xml:space="preserve">, Inc. </w:t>
            </w:r>
            <w:r w:rsidR="00701737">
              <w:rPr>
                <w:sz w:val="18"/>
                <w:szCs w:val="18"/>
              </w:rPr>
              <w:t xml:space="preserve">November 15, 2019. “Final Annual Report to the Pennsylvania Public Utility Commission Phase III of Act 129. Program Year 10 (June 1, 2018 – May 31, 2019). </w:t>
            </w:r>
            <w:r w:rsidR="00925E2B">
              <w:rPr>
                <w:sz w:val="18"/>
                <w:szCs w:val="18"/>
              </w:rPr>
              <w:t xml:space="preserve">Prepared for PECO.” </w:t>
            </w:r>
          </w:p>
          <w:p w14:paraId="64C6E8E1" w14:textId="018C0C1F" w:rsidR="000949AC" w:rsidRDefault="000949AC" w:rsidP="006D1B62">
            <w:pPr>
              <w:keepNext/>
              <w:keepLines/>
              <w:spacing w:after="0" w:line="240" w:lineRule="auto"/>
              <w:jc w:val="left"/>
              <w:rPr>
                <w:sz w:val="18"/>
                <w:szCs w:val="18"/>
              </w:rPr>
            </w:pPr>
            <w:r w:rsidRPr="007E7434">
              <w:rPr>
                <w:sz w:val="18"/>
                <w:szCs w:val="18"/>
                <w:vertAlign w:val="superscript"/>
              </w:rPr>
              <w:t>7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B65442">
              <w:rPr>
                <w:sz w:val="18"/>
                <w:szCs w:val="18"/>
              </w:rPr>
              <w:t>Guidehouse</w:t>
            </w:r>
            <w:proofErr w:type="spellEnd"/>
            <w:r w:rsidR="00B65442">
              <w:rPr>
                <w:sz w:val="18"/>
                <w:szCs w:val="18"/>
              </w:rPr>
              <w:t xml:space="preserve">, Inc. </w:t>
            </w:r>
            <w:r w:rsidR="00250621">
              <w:rPr>
                <w:sz w:val="18"/>
                <w:szCs w:val="18"/>
              </w:rPr>
              <w:t>February 15, 2021. “Final Annual Report to the Pennsylvania Public Utility Commission Phase III of Act 129.</w:t>
            </w:r>
            <w:r w:rsidR="00E77135">
              <w:rPr>
                <w:sz w:val="18"/>
                <w:szCs w:val="18"/>
              </w:rPr>
              <w:t xml:space="preserve"> Program Year 11 (June 1, 2019—May 31, 2020).</w:t>
            </w:r>
            <w:r w:rsidR="00CC7D0A">
              <w:rPr>
                <w:sz w:val="18"/>
                <w:szCs w:val="18"/>
              </w:rPr>
              <w:t xml:space="preserve"> Prepared for Duquesne Light Company.</w:t>
            </w:r>
            <w:r w:rsidR="00250621">
              <w:rPr>
                <w:sz w:val="18"/>
                <w:szCs w:val="18"/>
              </w:rPr>
              <w:t xml:space="preserve">” </w:t>
            </w:r>
          </w:p>
          <w:p w14:paraId="1CDA554C" w14:textId="264B3965" w:rsidR="000949AC" w:rsidRDefault="000949AC" w:rsidP="006D1B62">
            <w:pPr>
              <w:keepNext/>
              <w:keepLines/>
              <w:spacing w:after="0" w:line="240" w:lineRule="auto"/>
              <w:jc w:val="left"/>
              <w:rPr>
                <w:sz w:val="18"/>
                <w:szCs w:val="18"/>
              </w:rPr>
            </w:pPr>
            <w:r w:rsidRPr="007E7434">
              <w:rPr>
                <w:sz w:val="18"/>
                <w:szCs w:val="18"/>
                <w:vertAlign w:val="superscript"/>
              </w:rPr>
              <w:t>8</w:t>
            </w:r>
            <w:r>
              <w:rPr>
                <w:sz w:val="18"/>
                <w:szCs w:val="18"/>
              </w:rPr>
              <w:t xml:space="preserve"> This FR value was for the entire Whole Home Solution, which included pipe wrap as a direct-install measure.</w:t>
            </w:r>
          </w:p>
          <w:p w14:paraId="358F61C6" w14:textId="000549D2" w:rsidR="000949AC" w:rsidRDefault="000949AC" w:rsidP="006D1B62">
            <w:pPr>
              <w:keepNext/>
              <w:keepLines/>
              <w:spacing w:after="0" w:line="240" w:lineRule="auto"/>
              <w:jc w:val="left"/>
              <w:rPr>
                <w:sz w:val="18"/>
                <w:szCs w:val="18"/>
              </w:rPr>
            </w:pPr>
            <w:r w:rsidRPr="007E7434">
              <w:rPr>
                <w:sz w:val="18"/>
                <w:szCs w:val="18"/>
                <w:vertAlign w:val="superscript"/>
              </w:rPr>
              <w:t>9</w:t>
            </w:r>
            <w:r>
              <w:rPr>
                <w:sz w:val="18"/>
                <w:szCs w:val="18"/>
              </w:rPr>
              <w:t xml:space="preserve"> The free-ridership value of 25% was for ductless mini-split heat pumps only.</w:t>
            </w:r>
          </w:p>
          <w:p w14:paraId="4981AD4A" w14:textId="188311CF" w:rsidR="006D1B62" w:rsidRDefault="006D1B62" w:rsidP="007E7434">
            <w:pPr>
              <w:keepNext/>
              <w:keepLines/>
              <w:spacing w:after="0" w:line="240" w:lineRule="auto"/>
              <w:jc w:val="left"/>
            </w:pPr>
          </w:p>
        </w:tc>
      </w:tr>
    </w:tbl>
    <w:p w14:paraId="38B0CB06" w14:textId="77777777" w:rsidR="004C52DC" w:rsidRPr="008409BE" w:rsidRDefault="004C52DC" w:rsidP="007E7434"/>
    <w:p w14:paraId="1413BD8E" w14:textId="1972D64F" w:rsidR="000D09B5" w:rsidRDefault="00C572B2" w:rsidP="00C572B2">
      <w:pPr>
        <w:pStyle w:val="Heading2"/>
      </w:pPr>
      <w:r>
        <w:t>Spillover</w:t>
      </w:r>
    </w:p>
    <w:p w14:paraId="6D4C3813" w14:textId="77777777" w:rsidR="007F70B7" w:rsidRDefault="00FB0F58" w:rsidP="004B4A58">
      <w:r>
        <w:t xml:space="preserve">The second input into the net-to-gross ratio is the spillover rate. </w:t>
      </w:r>
    </w:p>
    <w:p w14:paraId="7C440348" w14:textId="5DD32E8B" w:rsidR="007F70B7" w:rsidRDefault="007F70B7" w:rsidP="007E7434">
      <w:pPr>
        <w:pStyle w:val="Heading3"/>
      </w:pPr>
      <w:r>
        <w:t xml:space="preserve">HES – Participant Spillover </w:t>
      </w:r>
    </w:p>
    <w:p w14:paraId="6D8F3D71" w14:textId="090E14E3" w:rsidR="004B4A58" w:rsidRDefault="0041688A" w:rsidP="004B4A58">
      <w:r>
        <w:t>Participant spillover (PSO) contains the following elements:</w:t>
      </w:r>
    </w:p>
    <w:p w14:paraId="6899F0F5" w14:textId="7B2B1077" w:rsidR="00250B8F" w:rsidRDefault="00604B39" w:rsidP="000357B4">
      <w:pPr>
        <w:pStyle w:val="ListParagraph"/>
        <w:numPr>
          <w:ilvl w:val="0"/>
          <w:numId w:val="31"/>
        </w:numPr>
      </w:pPr>
      <w:r>
        <w:rPr>
          <w:b/>
          <w:bCs/>
        </w:rPr>
        <w:t xml:space="preserve">Non-rebated measures. </w:t>
      </w:r>
      <w:r w:rsidR="000357B4">
        <w:t xml:space="preserve">HES participants </w:t>
      </w:r>
      <w:r>
        <w:t>were asked in the survey whether they had made any energy-efficiency</w:t>
      </w:r>
      <w:r w:rsidR="00987C40">
        <w:t xml:space="preserve"> purchases or changes</w:t>
      </w:r>
      <w:r>
        <w:t xml:space="preserve"> </w:t>
      </w:r>
      <w:r w:rsidR="005A6E77">
        <w:t xml:space="preserve">for which they </w:t>
      </w:r>
      <w:r>
        <w:t xml:space="preserve">had not received </w:t>
      </w:r>
      <w:r w:rsidR="00C70373">
        <w:t>a rebate or financing from their utility since participating in the program</w:t>
      </w:r>
      <w:r w:rsidR="0033377C">
        <w:t xml:space="preserve">. </w:t>
      </w:r>
      <w:r w:rsidR="003E7722">
        <w:t>The survey also asked</w:t>
      </w:r>
      <w:r w:rsidR="00F077C9">
        <w:t xml:space="preserve"> whether their participation in the HES program influenced their decision to </w:t>
      </w:r>
      <w:r w:rsidR="00987C40">
        <w:t>take these actions</w:t>
      </w:r>
      <w:r w:rsidR="00B251C1">
        <w:t>.</w:t>
      </w:r>
      <w:r w:rsidR="00987C40">
        <w:t xml:space="preserve"> </w:t>
      </w:r>
      <w:r w:rsidR="006D3CF0">
        <w:t xml:space="preserve">Respondents then indicated which non-rebated measure(s) or upgrade(s) they installed. For each measure identified, respondents </w:t>
      </w:r>
      <w:r w:rsidR="00062FE9">
        <w:t xml:space="preserve">indicated how they knew the measure was energy-efficient, the </w:t>
      </w:r>
      <w:r w:rsidR="001979F7">
        <w:t>energy-efficiency rating, if applicable (e.g., ENERGY STAR status, SEER, HPSF, AFUE, and/or EF</w:t>
      </w:r>
      <w:r w:rsidR="000301D3">
        <w:t xml:space="preserve"> values), and how many of each measure they installed. </w:t>
      </w:r>
    </w:p>
    <w:p w14:paraId="5E2D5DBE" w14:textId="77777777" w:rsidR="00F84875" w:rsidRDefault="00630DA0" w:rsidP="000357B4">
      <w:pPr>
        <w:pStyle w:val="ListParagraph"/>
        <w:numPr>
          <w:ilvl w:val="0"/>
          <w:numId w:val="31"/>
        </w:numPr>
      </w:pPr>
      <w:r>
        <w:rPr>
          <w:b/>
          <w:bCs/>
        </w:rPr>
        <w:t xml:space="preserve">Program influence level. </w:t>
      </w:r>
      <w:r w:rsidR="00870E5F">
        <w:t xml:space="preserve">After describing the energy-efficiency and quantity of the non-rebated measure(s) </w:t>
      </w:r>
      <w:r w:rsidR="00E800DF">
        <w:t>installed after participating in the HES program, r</w:t>
      </w:r>
      <w:r w:rsidR="00250B8F">
        <w:t>espondents rated the importance of the</w:t>
      </w:r>
      <w:r w:rsidR="00E800DF">
        <w:t xml:space="preserve">ir experience </w:t>
      </w:r>
      <w:r w:rsidR="00A53AF7">
        <w:t xml:space="preserve">of the HES program on each </w:t>
      </w:r>
      <w:r w:rsidR="00250B8F">
        <w:t>measure</w:t>
      </w:r>
      <w:r w:rsidR="00A53AF7">
        <w:t xml:space="preserve"> and their likelihood of installing the </w:t>
      </w:r>
      <w:r w:rsidR="006F620A">
        <w:t xml:space="preserve">measure if they had not participated in the HES program. </w:t>
      </w:r>
      <w:r w:rsidR="001F5C09">
        <w:t>Scores from these two influence questions were</w:t>
      </w:r>
      <w:r w:rsidR="00C17B39">
        <w:t xml:space="preserve"> combined to </w:t>
      </w:r>
      <w:r w:rsidR="00FD0F00">
        <w:t>calculate the participant spillover score for each measure.</w:t>
      </w:r>
    </w:p>
    <w:p w14:paraId="115EDEA3" w14:textId="425A6BB1" w:rsidR="000357B4" w:rsidRDefault="000923C3" w:rsidP="000357B4">
      <w:pPr>
        <w:pStyle w:val="ListParagraph"/>
        <w:numPr>
          <w:ilvl w:val="0"/>
          <w:numId w:val="31"/>
        </w:numPr>
      </w:pPr>
      <w:r>
        <w:rPr>
          <w:b/>
          <w:bCs/>
        </w:rPr>
        <w:t>Weighting by savings.</w:t>
      </w:r>
      <w:r>
        <w:t xml:space="preserve"> </w:t>
      </w:r>
      <w:r w:rsidR="00044229">
        <w:t xml:space="preserve">The analysis weighted </w:t>
      </w:r>
      <w:r w:rsidR="00B30D23">
        <w:t>for savings by dividing the total spillover savings by the total savings for each respondent (including those who did not claim any spillover.)</w:t>
      </w:r>
      <w:r w:rsidR="004112A5">
        <w:t xml:space="preserve"> Spillover savings for each measure were calculated </w:t>
      </w:r>
      <w:r w:rsidR="00391B33">
        <w:t xml:space="preserve">from </w:t>
      </w:r>
      <w:r w:rsidR="00044229">
        <w:t>the average savings in the program database</w:t>
      </w:r>
      <w:r w:rsidR="00FE2391">
        <w:t xml:space="preserve"> or</w:t>
      </w:r>
      <w:r w:rsidR="00CD4791">
        <w:t xml:space="preserve"> the </w:t>
      </w:r>
      <w:r w:rsidR="007F43F4">
        <w:t xml:space="preserve">2021 </w:t>
      </w:r>
      <w:r w:rsidR="00CD4791">
        <w:t>Connecticut Program Savings Document (PSD)</w:t>
      </w:r>
      <w:r w:rsidR="00FE2391">
        <w:t>.</w:t>
      </w:r>
      <w:r w:rsidR="00492849">
        <w:rPr>
          <w:rStyle w:val="FootnoteReference"/>
        </w:rPr>
        <w:footnoteReference w:id="9"/>
      </w:r>
      <w:r w:rsidR="00CD4791">
        <w:t xml:space="preserve"> </w:t>
      </w:r>
    </w:p>
    <w:p w14:paraId="1BFD4D43" w14:textId="0055117A" w:rsidR="00235DD6" w:rsidRDefault="00235DD6" w:rsidP="00235DD6">
      <w:r>
        <w:t xml:space="preserve">The study arrived at a spillover rate of </w:t>
      </w:r>
      <w:r w:rsidR="004C510C">
        <w:t>8.2%</w:t>
      </w:r>
      <w:r w:rsidR="00FC6679">
        <w:t xml:space="preserve"> for HES based on participant survey responses. </w:t>
      </w:r>
      <w:r w:rsidR="000E3574">
        <w:t xml:space="preserve"> </w:t>
      </w:r>
    </w:p>
    <w:p w14:paraId="62312A89" w14:textId="7004C692" w:rsidR="00AB2BC4" w:rsidRDefault="008B55F4" w:rsidP="004B4A58">
      <w:r>
        <w:t>Spillover</w:t>
      </w:r>
      <w:r w:rsidR="00A626FE">
        <w:t xml:space="preserve"> (SO)</w:t>
      </w:r>
      <w:r>
        <w:t xml:space="preserve"> refers to energy-saving upgrades or installs</w:t>
      </w:r>
      <w:r w:rsidR="00A11B11">
        <w:t xml:space="preserve"> performed</w:t>
      </w:r>
      <w:r w:rsidR="003B42F7">
        <w:t xml:space="preserve"> after partic</w:t>
      </w:r>
      <w:r w:rsidR="00707FE8">
        <w:t>ipating in the HES program</w:t>
      </w:r>
      <w:r w:rsidR="00DE0788">
        <w:t xml:space="preserve"> that did not receive </w:t>
      </w:r>
      <w:r w:rsidR="00565B60">
        <w:t>a rebate or utility financing</w:t>
      </w:r>
      <w:r w:rsidR="004670E5">
        <w:t xml:space="preserve">. </w:t>
      </w:r>
      <w:r w:rsidR="00F65B4C">
        <w:t xml:space="preserve">Of the 925 HES </w:t>
      </w:r>
      <w:r w:rsidR="00F760DF">
        <w:t>participants</w:t>
      </w:r>
      <w:r w:rsidR="00F65B4C">
        <w:t xml:space="preserve"> </w:t>
      </w:r>
      <w:r w:rsidR="00551E93">
        <w:t xml:space="preserve">surveyed, 13% </w:t>
      </w:r>
      <w:r w:rsidR="00F75445">
        <w:t>reported that they</w:t>
      </w:r>
      <w:r w:rsidR="00F859D8">
        <w:t xml:space="preserve"> were influenced by the HES program to</w:t>
      </w:r>
      <w:r w:rsidR="00DF57BB">
        <w:t xml:space="preserve"> install </w:t>
      </w:r>
      <w:r w:rsidR="00D554EC">
        <w:t xml:space="preserve">an energy-saving measure </w:t>
      </w:r>
      <w:r w:rsidR="002C68A5">
        <w:t xml:space="preserve">that </w:t>
      </w:r>
      <w:r w:rsidR="000A0FBB">
        <w:t>met these</w:t>
      </w:r>
      <w:r w:rsidR="00FA4AE8">
        <w:t xml:space="preserve"> </w:t>
      </w:r>
      <w:r w:rsidR="0072337A">
        <w:t>conditions.</w:t>
      </w:r>
      <w:r w:rsidR="00FE2391">
        <w:t xml:space="preserve"> As</w:t>
      </w:r>
      <w:r w:rsidR="008A651B">
        <w:t xml:space="preserve"> </w:t>
      </w:r>
      <w:r w:rsidR="006328FD" w:rsidRPr="006328FD">
        <w:rPr>
          <w:rStyle w:val="CrossRefChar"/>
          <w:highlight w:val="yellow"/>
        </w:rPr>
        <w:fldChar w:fldCharType="begin"/>
      </w:r>
      <w:r w:rsidR="006328FD" w:rsidRPr="006328FD">
        <w:rPr>
          <w:rStyle w:val="CrossRefChar"/>
        </w:rPr>
        <w:instrText xml:space="preserve"> REF _Ref106106248 \h </w:instrText>
      </w:r>
      <w:r w:rsidR="006328FD">
        <w:rPr>
          <w:rStyle w:val="CrossRefChar"/>
          <w:highlight w:val="yellow"/>
        </w:rPr>
        <w:instrText xml:space="preserve"> \* MERGEFORMAT </w:instrText>
      </w:r>
      <w:r w:rsidR="006328FD" w:rsidRPr="006328FD">
        <w:rPr>
          <w:rStyle w:val="CrossRefChar"/>
          <w:highlight w:val="yellow"/>
        </w:rPr>
      </w:r>
      <w:r w:rsidR="006328FD" w:rsidRPr="006328FD">
        <w:rPr>
          <w:rStyle w:val="CrossRefChar"/>
          <w:highlight w:val="yellow"/>
        </w:rPr>
        <w:fldChar w:fldCharType="separate"/>
      </w:r>
      <w:r w:rsidR="006328FD" w:rsidRPr="006328FD">
        <w:rPr>
          <w:rStyle w:val="CrossRefChar"/>
        </w:rPr>
        <w:t>Table 6</w:t>
      </w:r>
      <w:r w:rsidR="006328FD" w:rsidRPr="006328FD">
        <w:rPr>
          <w:rStyle w:val="CrossRefChar"/>
          <w:highlight w:val="yellow"/>
        </w:rPr>
        <w:fldChar w:fldCharType="end"/>
      </w:r>
      <w:r w:rsidR="008A651B">
        <w:t xml:space="preserve"> shows, </w:t>
      </w:r>
      <w:r w:rsidR="00F03569">
        <w:t xml:space="preserve">these respondents reported 303 eligible </w:t>
      </w:r>
      <w:r w:rsidR="00A626FE">
        <w:t xml:space="preserve">SO </w:t>
      </w:r>
      <w:r w:rsidR="00F03569">
        <w:t>measures</w:t>
      </w:r>
      <w:r w:rsidR="00A24128">
        <w:t xml:space="preserve"> in total</w:t>
      </w:r>
      <w:r w:rsidR="007A30F3">
        <w:t xml:space="preserve">, the most common being </w:t>
      </w:r>
      <w:r w:rsidR="00DC3C35">
        <w:t>thermostats (4% of respondents)</w:t>
      </w:r>
      <w:r w:rsidR="008E4C26">
        <w:t xml:space="preserve"> </w:t>
      </w:r>
      <w:r w:rsidR="00D56DFD">
        <w:t>and dehumidifiers (3%)</w:t>
      </w:r>
      <w:r w:rsidR="00A24128">
        <w:t>.</w:t>
      </w:r>
      <w:r w:rsidR="00AB2BC4">
        <w:t xml:space="preserve"> </w:t>
      </w:r>
    </w:p>
    <w:p w14:paraId="61D1B413" w14:textId="77777777" w:rsidR="002E4C13" w:rsidRPr="004B4A58" w:rsidRDefault="002E4C13" w:rsidP="004B4A58"/>
    <w:p w14:paraId="4150DDDC" w14:textId="5CBBDEE3" w:rsidR="00CE1312" w:rsidRDefault="00CE1312" w:rsidP="00CE1312">
      <w:pPr>
        <w:pStyle w:val="Caption"/>
      </w:pPr>
      <w:bookmarkStart w:id="7" w:name="_Ref106106248"/>
      <w:r>
        <w:t xml:space="preserve">Table </w:t>
      </w:r>
      <w:r w:rsidR="00EE337D">
        <w:fldChar w:fldCharType="begin"/>
      </w:r>
      <w:r w:rsidR="00EE337D">
        <w:instrText xml:space="preserve"> SEQ Table \* ARABIC </w:instrText>
      </w:r>
      <w:r w:rsidR="00EE337D">
        <w:fldChar w:fldCharType="separate"/>
      </w:r>
      <w:r w:rsidR="0022173A">
        <w:rPr>
          <w:noProof/>
        </w:rPr>
        <w:t>8</w:t>
      </w:r>
      <w:r w:rsidR="00EE337D">
        <w:rPr>
          <w:noProof/>
        </w:rPr>
        <w:fldChar w:fldCharType="end"/>
      </w:r>
      <w:bookmarkEnd w:id="7"/>
      <w:r>
        <w:t xml:space="preserve">: </w:t>
      </w:r>
      <w:proofErr w:type="spellStart"/>
      <w:r>
        <w:t>HES</w:t>
      </w:r>
      <w:proofErr w:type="spellEnd"/>
      <w:r>
        <w:t xml:space="preserve"> Participant</w:t>
      </w:r>
      <w:r w:rsidR="00247E7A">
        <w:t xml:space="preserve"> Spillover </w:t>
      </w:r>
      <w:r w:rsidR="00A62D9A">
        <w:t>Measures</w:t>
      </w:r>
    </w:p>
    <w:tbl>
      <w:tblPr>
        <w:tblStyle w:val="BodyOdd"/>
        <w:tblW w:w="5000" w:type="pct"/>
        <w:tblLook w:val="04A0" w:firstRow="1" w:lastRow="0" w:firstColumn="1" w:lastColumn="0" w:noHBand="0" w:noVBand="1"/>
      </w:tblPr>
      <w:tblGrid>
        <w:gridCol w:w="3420"/>
        <w:gridCol w:w="2881"/>
        <w:gridCol w:w="2789"/>
        <w:gridCol w:w="270"/>
      </w:tblGrid>
      <w:tr w:rsidR="00F16D07" w14:paraId="322B6010" w14:textId="77777777" w:rsidTr="007E743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pct"/>
          </w:tcPr>
          <w:p w14:paraId="26CFB921" w14:textId="118B9B77" w:rsidR="00F16D07" w:rsidRDefault="00F16D07" w:rsidP="00541A5E">
            <w:pPr>
              <w:keepNext/>
              <w:keepLines/>
              <w:spacing w:after="0" w:line="280" w:lineRule="exact"/>
              <w:jc w:val="left"/>
            </w:pPr>
            <w:r>
              <w:t>Program-Influenced Measure Installed Outside of Program</w:t>
            </w:r>
          </w:p>
        </w:tc>
        <w:tc>
          <w:tcPr>
            <w:tcW w:w="1539" w:type="pct"/>
          </w:tcPr>
          <w:p w14:paraId="13B16BA3" w14:textId="1A7BFD2A" w:rsidR="00F16D07" w:rsidRDefault="00F16D07" w:rsidP="00541A5E">
            <w:pPr>
              <w:keepNext/>
              <w:keepLines/>
              <w:spacing w:after="0"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% </w:t>
            </w:r>
            <w:proofErr w:type="gramStart"/>
            <w:r>
              <w:t>of</w:t>
            </w:r>
            <w:proofErr w:type="gramEnd"/>
            <w:r>
              <w:t xml:space="preserve"> Respondents, Unweighted (n=925)</w:t>
            </w:r>
          </w:p>
        </w:tc>
        <w:tc>
          <w:tcPr>
            <w:tcW w:w="1490" w:type="pct"/>
            <w:vAlign w:val="center"/>
          </w:tcPr>
          <w:p w14:paraId="702AB9EB" w14:textId="17459E11" w:rsidR="00F16D07" w:rsidRDefault="00F16D07" w:rsidP="00603BBE">
            <w:pPr>
              <w:keepNext/>
              <w:keepLines/>
              <w:spacing w:after="0"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Average Gross Savings (MMBtu/</w:t>
            </w:r>
            <w:proofErr w:type="spellStart"/>
            <w:r>
              <w:t>yr</w:t>
            </w:r>
            <w:proofErr w:type="spellEnd"/>
            <w:r>
              <w:t>)</w:t>
            </w:r>
            <w:r w:rsidRPr="004A4DEC">
              <w:rPr>
                <w:vertAlign w:val="superscript"/>
              </w:rPr>
              <w:t>1</w:t>
            </w:r>
          </w:p>
        </w:tc>
      </w:tr>
      <w:tr w:rsidR="00F16D07" w14:paraId="46772CA3" w14:textId="77777777" w:rsidTr="007E743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pct"/>
          </w:tcPr>
          <w:p w14:paraId="177FC7B9" w14:textId="537B5F6C" w:rsidR="00F16D07" w:rsidRDefault="00F16D07" w:rsidP="00541A5E">
            <w:pPr>
              <w:keepNext/>
              <w:keepLines/>
              <w:spacing w:after="0" w:line="280" w:lineRule="exact"/>
              <w:jc w:val="left"/>
            </w:pPr>
            <w:r w:rsidRPr="00740994">
              <w:t>Thermostat</w:t>
            </w:r>
          </w:p>
        </w:tc>
        <w:tc>
          <w:tcPr>
            <w:tcW w:w="1539" w:type="pct"/>
          </w:tcPr>
          <w:p w14:paraId="6411A1AA" w14:textId="17A6C9C3" w:rsidR="00F16D07" w:rsidRDefault="00F16D07" w:rsidP="00541A5E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488A">
              <w:t>4%</w:t>
            </w:r>
          </w:p>
        </w:tc>
        <w:tc>
          <w:tcPr>
            <w:tcW w:w="1490" w:type="pct"/>
          </w:tcPr>
          <w:p w14:paraId="3B47A44F" w14:textId="71D38434" w:rsidR="00F16D07" w:rsidRDefault="00F16D07" w:rsidP="00541A5E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2204">
              <w:t>7.8</w:t>
            </w:r>
          </w:p>
        </w:tc>
      </w:tr>
      <w:tr w:rsidR="00F16D07" w14:paraId="3FDD9971" w14:textId="77777777" w:rsidTr="007E7434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pct"/>
          </w:tcPr>
          <w:p w14:paraId="4DE6DF4F" w14:textId="77777777" w:rsidR="00F16D07" w:rsidRDefault="00F16D07" w:rsidP="008C3C4B">
            <w:pPr>
              <w:keepNext/>
              <w:keepLines/>
              <w:spacing w:after="0" w:line="280" w:lineRule="exact"/>
              <w:jc w:val="left"/>
            </w:pPr>
            <w:r w:rsidRPr="00740994">
              <w:t>Dehumidifier</w:t>
            </w:r>
          </w:p>
        </w:tc>
        <w:tc>
          <w:tcPr>
            <w:tcW w:w="1539" w:type="pct"/>
          </w:tcPr>
          <w:p w14:paraId="2D11B21E" w14:textId="77777777" w:rsidR="00F16D07" w:rsidRDefault="00F16D07" w:rsidP="008C3C4B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D488A">
              <w:t>3%</w:t>
            </w:r>
          </w:p>
        </w:tc>
        <w:tc>
          <w:tcPr>
            <w:tcW w:w="1490" w:type="pct"/>
          </w:tcPr>
          <w:p w14:paraId="41038A4E" w14:textId="77777777" w:rsidR="00F16D07" w:rsidRDefault="00F16D07" w:rsidP="008C3C4B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02204">
              <w:t>1.0</w:t>
            </w:r>
          </w:p>
        </w:tc>
      </w:tr>
      <w:tr w:rsidR="00F16D07" w14:paraId="64570BD0" w14:textId="77777777" w:rsidTr="007E743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pct"/>
          </w:tcPr>
          <w:p w14:paraId="6298F3F3" w14:textId="77777777" w:rsidR="00F16D07" w:rsidRDefault="00F16D07" w:rsidP="008C3C4B">
            <w:pPr>
              <w:keepNext/>
              <w:keepLines/>
              <w:spacing w:after="0" w:line="280" w:lineRule="exact"/>
              <w:jc w:val="left"/>
            </w:pPr>
            <w:r w:rsidRPr="00740994">
              <w:t>Window replacement</w:t>
            </w:r>
          </w:p>
        </w:tc>
        <w:tc>
          <w:tcPr>
            <w:tcW w:w="1539" w:type="pct"/>
          </w:tcPr>
          <w:p w14:paraId="20D39A1B" w14:textId="77777777" w:rsidR="00F16D07" w:rsidRDefault="00F16D07" w:rsidP="008C3C4B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488A">
              <w:t>2%</w:t>
            </w:r>
          </w:p>
        </w:tc>
        <w:tc>
          <w:tcPr>
            <w:tcW w:w="1490" w:type="pct"/>
          </w:tcPr>
          <w:p w14:paraId="5206A78F" w14:textId="77777777" w:rsidR="00F16D07" w:rsidRDefault="00F16D07" w:rsidP="008C3C4B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2204">
              <w:t>21.3</w:t>
            </w:r>
          </w:p>
        </w:tc>
      </w:tr>
      <w:tr w:rsidR="00F16D07" w14:paraId="0F18F5B6" w14:textId="77777777" w:rsidTr="007E7434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pct"/>
          </w:tcPr>
          <w:p w14:paraId="187A619C" w14:textId="430551AB" w:rsidR="00F16D07" w:rsidRDefault="00F16D07" w:rsidP="00541A5E">
            <w:pPr>
              <w:keepNext/>
              <w:keepLines/>
              <w:spacing w:after="0" w:line="280" w:lineRule="exact"/>
              <w:jc w:val="left"/>
            </w:pPr>
            <w:r w:rsidRPr="00740994">
              <w:t>Insulation</w:t>
            </w:r>
          </w:p>
        </w:tc>
        <w:tc>
          <w:tcPr>
            <w:tcW w:w="1539" w:type="pct"/>
          </w:tcPr>
          <w:p w14:paraId="00376D4E" w14:textId="4B727688" w:rsidR="00F16D07" w:rsidRDefault="00F16D07" w:rsidP="00541A5E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D488A">
              <w:t>2%</w:t>
            </w:r>
          </w:p>
        </w:tc>
        <w:tc>
          <w:tcPr>
            <w:tcW w:w="1490" w:type="pct"/>
          </w:tcPr>
          <w:p w14:paraId="4656E842" w14:textId="0BFBE565" w:rsidR="00F16D07" w:rsidRDefault="00F16D07" w:rsidP="00541A5E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02204">
              <w:t>12.2</w:t>
            </w:r>
          </w:p>
        </w:tc>
      </w:tr>
      <w:tr w:rsidR="00F16D07" w14:paraId="39C48C3D" w14:textId="77777777" w:rsidTr="007E743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pct"/>
          </w:tcPr>
          <w:p w14:paraId="01473E41" w14:textId="3D34630D" w:rsidR="00F16D07" w:rsidRDefault="00F16D07" w:rsidP="00541A5E">
            <w:pPr>
              <w:keepNext/>
              <w:keepLines/>
              <w:spacing w:after="0" w:line="280" w:lineRule="exact"/>
              <w:jc w:val="left"/>
            </w:pPr>
            <w:r w:rsidRPr="00740994">
              <w:t>Air sealing</w:t>
            </w:r>
          </w:p>
        </w:tc>
        <w:tc>
          <w:tcPr>
            <w:tcW w:w="1539" w:type="pct"/>
          </w:tcPr>
          <w:p w14:paraId="5469CAD3" w14:textId="00FBC524" w:rsidR="00F16D07" w:rsidRDefault="00F16D07" w:rsidP="00541A5E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488A">
              <w:t>2%</w:t>
            </w:r>
          </w:p>
        </w:tc>
        <w:tc>
          <w:tcPr>
            <w:tcW w:w="1490" w:type="pct"/>
          </w:tcPr>
          <w:p w14:paraId="24FA84C7" w14:textId="552747A0" w:rsidR="00F16D07" w:rsidRDefault="00F16D07" w:rsidP="00541A5E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2204">
              <w:t>10.2</w:t>
            </w:r>
          </w:p>
        </w:tc>
      </w:tr>
      <w:tr w:rsidR="00F16D07" w14:paraId="0AB8B94A" w14:textId="77777777" w:rsidTr="007E7434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pct"/>
          </w:tcPr>
          <w:p w14:paraId="54F0A3BD" w14:textId="77777777" w:rsidR="00F16D07" w:rsidRDefault="00F16D07" w:rsidP="008C3C4B">
            <w:pPr>
              <w:keepNext/>
              <w:keepLines/>
              <w:spacing w:after="0" w:line="280" w:lineRule="exact"/>
              <w:jc w:val="left"/>
            </w:pPr>
            <w:r>
              <w:t xml:space="preserve">LED </w:t>
            </w:r>
            <w:r w:rsidRPr="00740994">
              <w:t>Light bulbs/light fixtures</w:t>
            </w:r>
            <w:r w:rsidRPr="00F44A18">
              <w:rPr>
                <w:vertAlign w:val="superscript"/>
              </w:rPr>
              <w:t>2</w:t>
            </w:r>
          </w:p>
        </w:tc>
        <w:tc>
          <w:tcPr>
            <w:tcW w:w="1539" w:type="pct"/>
          </w:tcPr>
          <w:p w14:paraId="2EC66DEA" w14:textId="77777777" w:rsidR="00F16D07" w:rsidRDefault="00F16D07" w:rsidP="008C3C4B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</w:t>
            </w:r>
            <w:r w:rsidRPr="00DD488A">
              <w:t>%</w:t>
            </w:r>
          </w:p>
        </w:tc>
        <w:tc>
          <w:tcPr>
            <w:tcW w:w="1490" w:type="pct"/>
          </w:tcPr>
          <w:p w14:paraId="23C9AB2E" w14:textId="77777777" w:rsidR="00F16D07" w:rsidRDefault="00F16D07" w:rsidP="008C3C4B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02204">
              <w:t>2.1</w:t>
            </w:r>
          </w:p>
        </w:tc>
      </w:tr>
      <w:tr w:rsidR="00F16D07" w14:paraId="431DB101" w14:textId="77777777" w:rsidTr="007E743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pct"/>
          </w:tcPr>
          <w:p w14:paraId="372B9D30" w14:textId="34FD35E5" w:rsidR="00F16D07" w:rsidRDefault="00F16D07" w:rsidP="00541A5E">
            <w:pPr>
              <w:keepNext/>
              <w:keepLines/>
              <w:spacing w:after="0" w:line="280" w:lineRule="exact"/>
              <w:jc w:val="left"/>
            </w:pPr>
            <w:r w:rsidRPr="00740994">
              <w:t>Clothes washer</w:t>
            </w:r>
          </w:p>
        </w:tc>
        <w:tc>
          <w:tcPr>
            <w:tcW w:w="1539" w:type="pct"/>
          </w:tcPr>
          <w:p w14:paraId="2AAF1D1D" w14:textId="28ED0B8A" w:rsidR="00F16D07" w:rsidRDefault="00F16D07" w:rsidP="00541A5E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488A">
              <w:t>2%</w:t>
            </w:r>
          </w:p>
        </w:tc>
        <w:tc>
          <w:tcPr>
            <w:tcW w:w="1490" w:type="pct"/>
          </w:tcPr>
          <w:p w14:paraId="11D568AF" w14:textId="4265A411" w:rsidR="00F16D07" w:rsidRDefault="00F16D07" w:rsidP="00541A5E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2204">
              <w:t>1.0</w:t>
            </w:r>
          </w:p>
        </w:tc>
      </w:tr>
      <w:tr w:rsidR="00F16D07" w14:paraId="571C59DB" w14:textId="77777777" w:rsidTr="007E7434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pct"/>
          </w:tcPr>
          <w:p w14:paraId="06C38A16" w14:textId="0D60702C" w:rsidR="00F16D07" w:rsidRDefault="00F16D07" w:rsidP="00541A5E">
            <w:pPr>
              <w:keepNext/>
              <w:keepLines/>
              <w:spacing w:after="0" w:line="280" w:lineRule="exact"/>
              <w:jc w:val="left"/>
            </w:pPr>
            <w:r w:rsidRPr="00740994">
              <w:t>Refrigerator</w:t>
            </w:r>
          </w:p>
        </w:tc>
        <w:tc>
          <w:tcPr>
            <w:tcW w:w="1539" w:type="pct"/>
          </w:tcPr>
          <w:p w14:paraId="584CF709" w14:textId="0178C867" w:rsidR="00F16D07" w:rsidRDefault="00F16D07" w:rsidP="00541A5E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D488A">
              <w:t>2%</w:t>
            </w:r>
          </w:p>
        </w:tc>
        <w:tc>
          <w:tcPr>
            <w:tcW w:w="1490" w:type="pct"/>
          </w:tcPr>
          <w:p w14:paraId="72DE597F" w14:textId="50540122" w:rsidR="00F16D07" w:rsidRDefault="00F16D07" w:rsidP="00541A5E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02204">
              <w:t>0.9</w:t>
            </w:r>
          </w:p>
        </w:tc>
      </w:tr>
      <w:tr w:rsidR="00F16D07" w14:paraId="5ABBE552" w14:textId="77777777" w:rsidTr="007E743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pct"/>
          </w:tcPr>
          <w:p w14:paraId="17736454" w14:textId="77777777" w:rsidR="00F16D07" w:rsidRDefault="00F16D07" w:rsidP="008C3C4B">
            <w:pPr>
              <w:keepNext/>
              <w:keepLines/>
              <w:spacing w:after="0" w:line="280" w:lineRule="exact"/>
              <w:jc w:val="left"/>
            </w:pPr>
            <w:r w:rsidRPr="00740994">
              <w:t>Central air conditioning system</w:t>
            </w:r>
          </w:p>
        </w:tc>
        <w:tc>
          <w:tcPr>
            <w:tcW w:w="1539" w:type="pct"/>
          </w:tcPr>
          <w:p w14:paraId="40DCAB2E" w14:textId="77777777" w:rsidR="00F16D07" w:rsidRDefault="00F16D07" w:rsidP="008C3C4B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488A">
              <w:t>2%</w:t>
            </w:r>
          </w:p>
        </w:tc>
        <w:tc>
          <w:tcPr>
            <w:tcW w:w="1490" w:type="pct"/>
          </w:tcPr>
          <w:p w14:paraId="4A9BEC0F" w14:textId="77777777" w:rsidR="00F16D07" w:rsidRDefault="00F16D07" w:rsidP="008C3C4B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2204">
              <w:t>0.7</w:t>
            </w:r>
          </w:p>
        </w:tc>
      </w:tr>
      <w:tr w:rsidR="00F16D07" w14:paraId="22208DFD" w14:textId="77777777" w:rsidTr="007E7434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pct"/>
          </w:tcPr>
          <w:p w14:paraId="3B63B5E5" w14:textId="77777777" w:rsidR="00F16D07" w:rsidRDefault="00F16D07" w:rsidP="008C3C4B">
            <w:pPr>
              <w:keepNext/>
              <w:keepLines/>
              <w:spacing w:after="0" w:line="280" w:lineRule="exact"/>
              <w:jc w:val="left"/>
            </w:pPr>
            <w:r w:rsidRPr="00740994">
              <w:t>Furnace</w:t>
            </w:r>
          </w:p>
        </w:tc>
        <w:tc>
          <w:tcPr>
            <w:tcW w:w="1539" w:type="pct"/>
          </w:tcPr>
          <w:p w14:paraId="7B45DC98" w14:textId="77777777" w:rsidR="00F16D07" w:rsidRDefault="00F16D07" w:rsidP="008C3C4B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D488A">
              <w:t>1%</w:t>
            </w:r>
          </w:p>
        </w:tc>
        <w:tc>
          <w:tcPr>
            <w:tcW w:w="1490" w:type="pct"/>
          </w:tcPr>
          <w:p w14:paraId="444B91AE" w14:textId="77777777" w:rsidR="00F16D07" w:rsidRDefault="00F16D07" w:rsidP="008C3C4B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02204">
              <w:t>20.8</w:t>
            </w:r>
          </w:p>
        </w:tc>
      </w:tr>
      <w:tr w:rsidR="00F16D07" w14:paraId="00DCF4FC" w14:textId="77777777" w:rsidTr="007E743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pct"/>
          </w:tcPr>
          <w:p w14:paraId="49902FBE" w14:textId="7E50742B" w:rsidR="00F16D07" w:rsidRDefault="00F16D07" w:rsidP="00541A5E">
            <w:pPr>
              <w:keepNext/>
              <w:keepLines/>
              <w:spacing w:after="0" w:line="280" w:lineRule="exact"/>
              <w:jc w:val="left"/>
            </w:pPr>
            <w:r w:rsidRPr="00740994">
              <w:t>Ductless heat pump</w:t>
            </w:r>
          </w:p>
        </w:tc>
        <w:tc>
          <w:tcPr>
            <w:tcW w:w="1539" w:type="pct"/>
          </w:tcPr>
          <w:p w14:paraId="03CD5AA7" w14:textId="2BA6CF40" w:rsidR="00F16D07" w:rsidRDefault="00F16D07" w:rsidP="00541A5E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488A">
              <w:t>1%</w:t>
            </w:r>
          </w:p>
        </w:tc>
        <w:tc>
          <w:tcPr>
            <w:tcW w:w="1490" w:type="pct"/>
          </w:tcPr>
          <w:p w14:paraId="6449DE2B" w14:textId="7DC200F0" w:rsidR="00F16D07" w:rsidRDefault="00F16D07" w:rsidP="00541A5E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2204">
              <w:t>12.5</w:t>
            </w:r>
          </w:p>
        </w:tc>
      </w:tr>
      <w:tr w:rsidR="00F16D07" w14:paraId="3EC48659" w14:textId="77777777" w:rsidTr="007E7434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pct"/>
          </w:tcPr>
          <w:p w14:paraId="3B08D37F" w14:textId="77777777" w:rsidR="00F16D07" w:rsidRDefault="00F16D07" w:rsidP="008C3C4B">
            <w:pPr>
              <w:keepNext/>
              <w:keepLines/>
              <w:spacing w:after="0" w:line="280" w:lineRule="exact"/>
              <w:jc w:val="left"/>
            </w:pPr>
            <w:r w:rsidRPr="00740994">
              <w:t>Heating or cooling system tune-up/maintenance</w:t>
            </w:r>
          </w:p>
        </w:tc>
        <w:tc>
          <w:tcPr>
            <w:tcW w:w="1539" w:type="pct"/>
          </w:tcPr>
          <w:p w14:paraId="5CA68E12" w14:textId="77777777" w:rsidR="00F16D07" w:rsidRDefault="00F16D07" w:rsidP="008C3C4B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D488A">
              <w:t>1%</w:t>
            </w:r>
          </w:p>
        </w:tc>
        <w:tc>
          <w:tcPr>
            <w:tcW w:w="1490" w:type="pct"/>
          </w:tcPr>
          <w:p w14:paraId="66F0CBBA" w14:textId="77777777" w:rsidR="00F16D07" w:rsidRDefault="00F16D07" w:rsidP="008C3C4B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02204">
              <w:t>4.9</w:t>
            </w:r>
          </w:p>
        </w:tc>
      </w:tr>
      <w:tr w:rsidR="00F16D07" w14:paraId="504AB4F1" w14:textId="77777777" w:rsidTr="007E743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pct"/>
          </w:tcPr>
          <w:p w14:paraId="3F446AB5" w14:textId="77777777" w:rsidR="00F16D07" w:rsidRDefault="00F16D07" w:rsidP="008C3C4B">
            <w:pPr>
              <w:keepNext/>
              <w:keepLines/>
              <w:spacing w:after="0" w:line="280" w:lineRule="exact"/>
              <w:jc w:val="left"/>
            </w:pPr>
            <w:r w:rsidRPr="00740994">
              <w:t>Water heater</w:t>
            </w:r>
          </w:p>
        </w:tc>
        <w:tc>
          <w:tcPr>
            <w:tcW w:w="1539" w:type="pct"/>
          </w:tcPr>
          <w:p w14:paraId="3EBE7573" w14:textId="77777777" w:rsidR="00F16D07" w:rsidRDefault="00F16D07" w:rsidP="008C3C4B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488A">
              <w:t>1%</w:t>
            </w:r>
          </w:p>
        </w:tc>
        <w:tc>
          <w:tcPr>
            <w:tcW w:w="1490" w:type="pct"/>
          </w:tcPr>
          <w:p w14:paraId="167CE430" w14:textId="77777777" w:rsidR="00F16D07" w:rsidRDefault="00F16D07" w:rsidP="008C3C4B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2204">
              <w:t>2.6</w:t>
            </w:r>
          </w:p>
        </w:tc>
      </w:tr>
      <w:tr w:rsidR="00F16D07" w14:paraId="6B711ED0" w14:textId="77777777" w:rsidTr="007E7434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pct"/>
          </w:tcPr>
          <w:p w14:paraId="3EECDFEE" w14:textId="77777777" w:rsidR="00F16D07" w:rsidRDefault="00F16D07" w:rsidP="008C3C4B">
            <w:pPr>
              <w:keepNext/>
              <w:keepLines/>
              <w:spacing w:after="0" w:line="280" w:lineRule="exact"/>
              <w:jc w:val="left"/>
            </w:pPr>
            <w:r w:rsidRPr="00740994">
              <w:t>Air purifier</w:t>
            </w:r>
          </w:p>
        </w:tc>
        <w:tc>
          <w:tcPr>
            <w:tcW w:w="1539" w:type="pct"/>
          </w:tcPr>
          <w:p w14:paraId="20578FB2" w14:textId="77777777" w:rsidR="00F16D07" w:rsidRDefault="00F16D07" w:rsidP="008C3C4B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D488A">
              <w:t>1%</w:t>
            </w:r>
          </w:p>
        </w:tc>
        <w:tc>
          <w:tcPr>
            <w:tcW w:w="1490" w:type="pct"/>
          </w:tcPr>
          <w:p w14:paraId="0BB2F517" w14:textId="77777777" w:rsidR="00F16D07" w:rsidRDefault="00F16D07" w:rsidP="008C3C4B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02204">
              <w:t>0.8</w:t>
            </w:r>
          </w:p>
        </w:tc>
      </w:tr>
      <w:tr w:rsidR="00F16D07" w14:paraId="69C1E149" w14:textId="77777777" w:rsidTr="007E743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pct"/>
          </w:tcPr>
          <w:p w14:paraId="460D9A31" w14:textId="77777777" w:rsidR="00F16D07" w:rsidRDefault="00F16D07" w:rsidP="008C3C4B">
            <w:pPr>
              <w:keepNext/>
              <w:keepLines/>
              <w:spacing w:after="0" w:line="280" w:lineRule="exact"/>
              <w:jc w:val="left"/>
            </w:pPr>
            <w:r w:rsidRPr="00740994">
              <w:t>Water pipe wrap</w:t>
            </w:r>
          </w:p>
        </w:tc>
        <w:tc>
          <w:tcPr>
            <w:tcW w:w="1539" w:type="pct"/>
          </w:tcPr>
          <w:p w14:paraId="12E130C1" w14:textId="77777777" w:rsidR="00F16D07" w:rsidRDefault="00F16D07" w:rsidP="008C3C4B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488A">
              <w:t>1%</w:t>
            </w:r>
          </w:p>
        </w:tc>
        <w:tc>
          <w:tcPr>
            <w:tcW w:w="1490" w:type="pct"/>
          </w:tcPr>
          <w:p w14:paraId="0D67FF82" w14:textId="77777777" w:rsidR="00F16D07" w:rsidRDefault="00F16D07" w:rsidP="008C3C4B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2204">
              <w:t>0.5</w:t>
            </w:r>
          </w:p>
        </w:tc>
      </w:tr>
      <w:tr w:rsidR="00F16D07" w14:paraId="70B17F19" w14:textId="77777777" w:rsidTr="007E7434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pct"/>
          </w:tcPr>
          <w:p w14:paraId="2EE06C83" w14:textId="7463FF4A" w:rsidR="00F16D07" w:rsidRDefault="00F16D07" w:rsidP="00541A5E">
            <w:pPr>
              <w:keepNext/>
              <w:keepLines/>
              <w:spacing w:after="0" w:line="280" w:lineRule="exact"/>
              <w:jc w:val="left"/>
            </w:pPr>
            <w:r w:rsidRPr="00740994">
              <w:t>Freezer</w:t>
            </w:r>
          </w:p>
        </w:tc>
        <w:tc>
          <w:tcPr>
            <w:tcW w:w="1539" w:type="pct"/>
          </w:tcPr>
          <w:p w14:paraId="2C997BB7" w14:textId="2D139F0E" w:rsidR="00F16D07" w:rsidRDefault="00F16D07" w:rsidP="00541A5E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D488A">
              <w:t>1%</w:t>
            </w:r>
          </w:p>
        </w:tc>
        <w:tc>
          <w:tcPr>
            <w:tcW w:w="1490" w:type="pct"/>
          </w:tcPr>
          <w:p w14:paraId="55EC98DF" w14:textId="16AAF419" w:rsidR="00F16D07" w:rsidRDefault="00F16D07" w:rsidP="00541A5E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02204">
              <w:t>0.4</w:t>
            </w:r>
          </w:p>
        </w:tc>
      </w:tr>
      <w:tr w:rsidR="00F16D07" w14:paraId="76275C10" w14:textId="77777777" w:rsidTr="007E743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pct"/>
          </w:tcPr>
          <w:p w14:paraId="5BCE2E6C" w14:textId="7DC426F1" w:rsidR="00F16D07" w:rsidRDefault="00F16D07" w:rsidP="00541A5E">
            <w:pPr>
              <w:keepNext/>
              <w:keepLines/>
              <w:spacing w:after="0" w:line="280" w:lineRule="exact"/>
              <w:jc w:val="left"/>
            </w:pPr>
            <w:r w:rsidRPr="00740994">
              <w:t>Clothes dryer</w:t>
            </w:r>
          </w:p>
        </w:tc>
        <w:tc>
          <w:tcPr>
            <w:tcW w:w="1539" w:type="pct"/>
          </w:tcPr>
          <w:p w14:paraId="5546811D" w14:textId="55B28FF9" w:rsidR="00F16D07" w:rsidRDefault="00F16D07" w:rsidP="00541A5E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488A">
              <w:t>1%</w:t>
            </w:r>
          </w:p>
        </w:tc>
        <w:tc>
          <w:tcPr>
            <w:tcW w:w="1490" w:type="pct"/>
          </w:tcPr>
          <w:p w14:paraId="6539D182" w14:textId="37630EC4" w:rsidR="00F16D07" w:rsidRDefault="00F16D07" w:rsidP="00541A5E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2204">
              <w:t>0.3</w:t>
            </w:r>
          </w:p>
        </w:tc>
      </w:tr>
      <w:tr w:rsidR="00F16D07" w14:paraId="76C9BB1F" w14:textId="77777777" w:rsidTr="007E7434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pct"/>
          </w:tcPr>
          <w:p w14:paraId="579CEAA5" w14:textId="77777777" w:rsidR="00F16D07" w:rsidRDefault="00F16D07" w:rsidP="008C3C4B">
            <w:pPr>
              <w:keepNext/>
              <w:keepLines/>
              <w:spacing w:after="0" w:line="280" w:lineRule="exact"/>
              <w:jc w:val="left"/>
            </w:pPr>
            <w:r w:rsidRPr="00740994">
              <w:t>Dishwasher</w:t>
            </w:r>
          </w:p>
        </w:tc>
        <w:tc>
          <w:tcPr>
            <w:tcW w:w="1539" w:type="pct"/>
          </w:tcPr>
          <w:p w14:paraId="39E290D6" w14:textId="77777777" w:rsidR="00F16D07" w:rsidRDefault="00F16D07" w:rsidP="008C3C4B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D488A">
              <w:t>1%</w:t>
            </w:r>
          </w:p>
        </w:tc>
        <w:tc>
          <w:tcPr>
            <w:tcW w:w="1490" w:type="pct"/>
          </w:tcPr>
          <w:p w14:paraId="4B61821F" w14:textId="77777777" w:rsidR="00F16D07" w:rsidRDefault="00F16D07" w:rsidP="008C3C4B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&lt;</w:t>
            </w:r>
            <w:r w:rsidRPr="00802204">
              <w:t>0.0</w:t>
            </w:r>
            <w:r>
              <w:t>5</w:t>
            </w:r>
          </w:p>
        </w:tc>
      </w:tr>
      <w:tr w:rsidR="00F16D07" w14:paraId="3186B794" w14:textId="77777777" w:rsidTr="007E743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pct"/>
          </w:tcPr>
          <w:p w14:paraId="61F4B874" w14:textId="77777777" w:rsidR="00F16D07" w:rsidRDefault="00F16D07" w:rsidP="008C3C4B">
            <w:pPr>
              <w:keepNext/>
              <w:keepLines/>
              <w:spacing w:after="0" w:line="280" w:lineRule="exact"/>
              <w:jc w:val="left"/>
            </w:pPr>
            <w:r w:rsidRPr="00740994">
              <w:t>Boiler</w:t>
            </w:r>
          </w:p>
        </w:tc>
        <w:tc>
          <w:tcPr>
            <w:tcW w:w="1539" w:type="pct"/>
          </w:tcPr>
          <w:p w14:paraId="04552BA9" w14:textId="77777777" w:rsidR="00F16D07" w:rsidRDefault="00F16D07" w:rsidP="008C3C4B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</w:t>
            </w:r>
            <w:r w:rsidRPr="00DD488A">
              <w:t>0</w:t>
            </w:r>
            <w:r>
              <w:t>.5</w:t>
            </w:r>
            <w:r w:rsidRPr="00DD488A">
              <w:t>%</w:t>
            </w:r>
          </w:p>
        </w:tc>
        <w:tc>
          <w:tcPr>
            <w:tcW w:w="1490" w:type="pct"/>
          </w:tcPr>
          <w:p w14:paraId="7A914165" w14:textId="77777777" w:rsidR="00F16D07" w:rsidRDefault="00F16D07" w:rsidP="008C3C4B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2204">
              <w:t>56.9</w:t>
            </w:r>
          </w:p>
        </w:tc>
      </w:tr>
      <w:tr w:rsidR="00F16D07" w14:paraId="126F5E04" w14:textId="77777777" w:rsidTr="007E7434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pct"/>
          </w:tcPr>
          <w:p w14:paraId="273C0CB0" w14:textId="449598E0" w:rsidR="00F16D07" w:rsidRDefault="00F16D07" w:rsidP="00541A5E">
            <w:pPr>
              <w:keepNext/>
              <w:keepLines/>
              <w:spacing w:after="0" w:line="280" w:lineRule="exact"/>
              <w:jc w:val="left"/>
            </w:pPr>
            <w:r w:rsidRPr="00740994">
              <w:t>Air source heat pump</w:t>
            </w:r>
          </w:p>
        </w:tc>
        <w:tc>
          <w:tcPr>
            <w:tcW w:w="1539" w:type="pct"/>
          </w:tcPr>
          <w:p w14:paraId="26AF656B" w14:textId="6D765510" w:rsidR="00F16D07" w:rsidRDefault="00F16D07" w:rsidP="00541A5E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C55D3">
              <w:t>&lt;</w:t>
            </w:r>
            <w:r w:rsidRPr="00DD488A">
              <w:t>0</w:t>
            </w:r>
            <w:r w:rsidRPr="007C55D3">
              <w:t>.5</w:t>
            </w:r>
            <w:r w:rsidRPr="00DD488A">
              <w:t>%</w:t>
            </w:r>
          </w:p>
        </w:tc>
        <w:tc>
          <w:tcPr>
            <w:tcW w:w="1490" w:type="pct"/>
          </w:tcPr>
          <w:p w14:paraId="5DAEB555" w14:textId="4998CF61" w:rsidR="00F16D07" w:rsidRDefault="00F16D07" w:rsidP="00541A5E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02204">
              <w:t>18.6</w:t>
            </w:r>
          </w:p>
        </w:tc>
      </w:tr>
      <w:tr w:rsidR="00F16D07" w14:paraId="7AC44F77" w14:textId="77777777" w:rsidTr="007E743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pct"/>
          </w:tcPr>
          <w:p w14:paraId="4B8EE0C6" w14:textId="0B9DD3AD" w:rsidR="00F16D07" w:rsidRDefault="00F16D07" w:rsidP="00541A5E">
            <w:pPr>
              <w:keepNext/>
              <w:keepLines/>
              <w:spacing w:after="0" w:line="280" w:lineRule="exact"/>
              <w:jc w:val="left"/>
            </w:pPr>
            <w:r>
              <w:t>Geothermal</w:t>
            </w:r>
            <w:r w:rsidRPr="00740994">
              <w:t xml:space="preserve"> heat pump</w:t>
            </w:r>
          </w:p>
        </w:tc>
        <w:tc>
          <w:tcPr>
            <w:tcW w:w="1539" w:type="pct"/>
          </w:tcPr>
          <w:p w14:paraId="0E857901" w14:textId="3B088E44" w:rsidR="00F16D07" w:rsidRDefault="00F16D07" w:rsidP="00541A5E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</w:t>
            </w:r>
            <w:r w:rsidRPr="00DD488A">
              <w:t>0</w:t>
            </w:r>
            <w:r>
              <w:t>.5</w:t>
            </w:r>
            <w:r w:rsidRPr="00DD488A">
              <w:t>%</w:t>
            </w:r>
          </w:p>
        </w:tc>
        <w:tc>
          <w:tcPr>
            <w:tcW w:w="1490" w:type="pct"/>
          </w:tcPr>
          <w:p w14:paraId="36AF3656" w14:textId="11961704" w:rsidR="00F16D07" w:rsidRDefault="00F16D07" w:rsidP="00541A5E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2204">
              <w:t>12.0</w:t>
            </w:r>
          </w:p>
        </w:tc>
      </w:tr>
      <w:tr w:rsidR="00F16D07" w14:paraId="1AFC9E6E" w14:textId="77777777" w:rsidTr="007E7434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pct"/>
          </w:tcPr>
          <w:p w14:paraId="5A5140CC" w14:textId="77777777" w:rsidR="00F16D07" w:rsidRDefault="00F16D07" w:rsidP="008C3C4B">
            <w:pPr>
              <w:keepNext/>
              <w:keepLines/>
              <w:spacing w:after="0" w:line="280" w:lineRule="exact"/>
              <w:jc w:val="left"/>
            </w:pPr>
            <w:r w:rsidRPr="00740994">
              <w:t>Heat pump water heater</w:t>
            </w:r>
          </w:p>
        </w:tc>
        <w:tc>
          <w:tcPr>
            <w:tcW w:w="1539" w:type="pct"/>
          </w:tcPr>
          <w:p w14:paraId="7A2FC92B" w14:textId="77777777" w:rsidR="00F16D07" w:rsidRDefault="00F16D07" w:rsidP="008C3C4B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C55D3">
              <w:t>&lt;</w:t>
            </w:r>
            <w:r w:rsidRPr="00DD488A">
              <w:t>0</w:t>
            </w:r>
            <w:r w:rsidRPr="007C55D3">
              <w:t>.5</w:t>
            </w:r>
            <w:r w:rsidRPr="00DD488A">
              <w:t>%</w:t>
            </w:r>
          </w:p>
        </w:tc>
        <w:tc>
          <w:tcPr>
            <w:tcW w:w="1490" w:type="pct"/>
          </w:tcPr>
          <w:p w14:paraId="7FC74706" w14:textId="77777777" w:rsidR="00F16D07" w:rsidRDefault="00F16D07" w:rsidP="008C3C4B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02204">
              <w:t>3.3</w:t>
            </w:r>
          </w:p>
        </w:tc>
      </w:tr>
      <w:tr w:rsidR="00F16D07" w14:paraId="7BC0FC81" w14:textId="77777777" w:rsidTr="007E743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pct"/>
          </w:tcPr>
          <w:p w14:paraId="0EFBFDEB" w14:textId="0584B326" w:rsidR="00F16D07" w:rsidRDefault="00F16D07" w:rsidP="00541A5E">
            <w:pPr>
              <w:keepNext/>
              <w:keepLines/>
              <w:spacing w:after="0" w:line="280" w:lineRule="exact"/>
              <w:jc w:val="left"/>
            </w:pPr>
            <w:r w:rsidRPr="00740994">
              <w:t>Duct sealing</w:t>
            </w:r>
          </w:p>
        </w:tc>
        <w:tc>
          <w:tcPr>
            <w:tcW w:w="1539" w:type="pct"/>
          </w:tcPr>
          <w:p w14:paraId="43443E11" w14:textId="4C39721B" w:rsidR="00F16D07" w:rsidRDefault="00F16D07" w:rsidP="00541A5E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</w:t>
            </w:r>
            <w:r w:rsidRPr="00DD488A">
              <w:t>0</w:t>
            </w:r>
            <w:r>
              <w:t>.5</w:t>
            </w:r>
            <w:r w:rsidRPr="00DD488A">
              <w:t>%</w:t>
            </w:r>
          </w:p>
        </w:tc>
        <w:tc>
          <w:tcPr>
            <w:tcW w:w="1490" w:type="pct"/>
          </w:tcPr>
          <w:p w14:paraId="2B808026" w14:textId="2FC9BF81" w:rsidR="00F16D07" w:rsidRDefault="00F16D07" w:rsidP="00541A5E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2204">
              <w:t>4.4</w:t>
            </w:r>
          </w:p>
        </w:tc>
      </w:tr>
      <w:tr w:rsidR="00F16D07" w14:paraId="6F9EBC1B" w14:textId="77777777" w:rsidTr="007E7434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pct"/>
          </w:tcPr>
          <w:p w14:paraId="264BD346" w14:textId="55435477" w:rsidR="00F16D07" w:rsidRDefault="00F16D07" w:rsidP="00541A5E">
            <w:pPr>
              <w:keepNext/>
              <w:keepLines/>
              <w:spacing w:after="0" w:line="280" w:lineRule="exact"/>
              <w:jc w:val="left"/>
            </w:pPr>
            <w:r w:rsidRPr="00740994">
              <w:t xml:space="preserve">Water-saving </w:t>
            </w:r>
            <w:r>
              <w:t>measures</w:t>
            </w:r>
          </w:p>
        </w:tc>
        <w:tc>
          <w:tcPr>
            <w:tcW w:w="1539" w:type="pct"/>
          </w:tcPr>
          <w:p w14:paraId="45F4ECF6" w14:textId="45C73FBB" w:rsidR="00F16D07" w:rsidRDefault="00F16D07" w:rsidP="00541A5E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&lt;</w:t>
            </w:r>
            <w:r w:rsidRPr="00DD488A">
              <w:t>0</w:t>
            </w:r>
            <w:r>
              <w:t>.5</w:t>
            </w:r>
            <w:r w:rsidRPr="00DD488A">
              <w:t>%</w:t>
            </w:r>
          </w:p>
        </w:tc>
        <w:tc>
          <w:tcPr>
            <w:tcW w:w="1490" w:type="pct"/>
          </w:tcPr>
          <w:p w14:paraId="2FDA954F" w14:textId="1ECCCCC7" w:rsidR="00F16D07" w:rsidRDefault="00F16D07" w:rsidP="00541A5E">
            <w:pPr>
              <w:keepNext/>
              <w:keepLines/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02204">
              <w:t>0.6</w:t>
            </w:r>
          </w:p>
        </w:tc>
      </w:tr>
      <w:tr w:rsidR="00F16D07" w14:paraId="55D59E00" w14:textId="77777777" w:rsidTr="007E743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4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pct"/>
          </w:tcPr>
          <w:p w14:paraId="5441CDF7" w14:textId="34C7920A" w:rsidR="00F16D07" w:rsidRPr="009D16C7" w:rsidRDefault="00F16D07" w:rsidP="00541A5E">
            <w:pPr>
              <w:keepNext/>
              <w:keepLines/>
              <w:spacing w:after="0" w:line="280" w:lineRule="exact"/>
              <w:jc w:val="left"/>
              <w:rPr>
                <w:b/>
                <w:bCs/>
              </w:rPr>
            </w:pPr>
            <w:r w:rsidRPr="00E4119F">
              <w:rPr>
                <w:b/>
              </w:rPr>
              <w:t>Total</w:t>
            </w:r>
            <w:r w:rsidR="00D60C12" w:rsidRPr="007E7434">
              <w:rPr>
                <w:b/>
                <w:vertAlign w:val="superscript"/>
              </w:rPr>
              <w:t>3</w:t>
            </w:r>
          </w:p>
        </w:tc>
        <w:tc>
          <w:tcPr>
            <w:tcW w:w="1539" w:type="pct"/>
          </w:tcPr>
          <w:p w14:paraId="7B8768EC" w14:textId="435294F8" w:rsidR="00F16D07" w:rsidRPr="008746C5" w:rsidRDefault="00F16D07" w:rsidP="00541A5E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746C5">
              <w:rPr>
                <w:b/>
                <w:bCs/>
              </w:rPr>
              <w:t>1</w:t>
            </w:r>
            <w:r w:rsidR="00CF2537">
              <w:rPr>
                <w:b/>
                <w:bCs/>
              </w:rPr>
              <w:t>2</w:t>
            </w:r>
            <w:r w:rsidRPr="008746C5">
              <w:rPr>
                <w:b/>
                <w:bCs/>
              </w:rPr>
              <w:t>.</w:t>
            </w:r>
            <w:r w:rsidR="00CF2537">
              <w:rPr>
                <w:b/>
                <w:bCs/>
              </w:rPr>
              <w:t>7</w:t>
            </w:r>
            <w:r w:rsidRPr="008746C5">
              <w:rPr>
                <w:b/>
                <w:bCs/>
              </w:rPr>
              <w:t>%</w:t>
            </w:r>
          </w:p>
        </w:tc>
        <w:tc>
          <w:tcPr>
            <w:tcW w:w="1490" w:type="pct"/>
          </w:tcPr>
          <w:p w14:paraId="3852A6CB" w14:textId="33A16813" w:rsidR="00F16D07" w:rsidRPr="007E7434" w:rsidRDefault="006C6592" w:rsidP="00541A5E">
            <w:pPr>
              <w:keepNext/>
              <w:keepLines/>
              <w:spacing w:after="0"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E7434">
              <w:rPr>
                <w:b/>
                <w:bCs/>
              </w:rPr>
              <w:t xml:space="preserve">1,860 </w:t>
            </w:r>
          </w:p>
        </w:tc>
      </w:tr>
      <w:tr w:rsidR="00095B61" w:rsidRPr="00F26DEB" w14:paraId="5ABFFCDE" w14:textId="77777777" w:rsidTr="007E74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23346509" w14:textId="5EDA0274" w:rsidR="00AE3E2B" w:rsidRDefault="002765FA" w:rsidP="004A4DEC">
            <w:pPr>
              <w:keepNext/>
              <w:keepLines/>
              <w:spacing w:after="0" w:line="240" w:lineRule="auto"/>
              <w:jc w:val="left"/>
              <w:rPr>
                <w:sz w:val="18"/>
                <w:szCs w:val="18"/>
              </w:rPr>
            </w:pPr>
            <w:r w:rsidRPr="004A4DEC">
              <w:rPr>
                <w:sz w:val="18"/>
                <w:szCs w:val="18"/>
                <w:vertAlign w:val="superscript"/>
              </w:rPr>
              <w:t>1</w:t>
            </w:r>
            <w:r w:rsidR="00F26DEB" w:rsidRPr="004A4DEC">
              <w:rPr>
                <w:sz w:val="18"/>
                <w:szCs w:val="18"/>
              </w:rPr>
              <w:t xml:space="preserve"> Average savings in the program data</w:t>
            </w:r>
            <w:r w:rsidR="00F26DEB">
              <w:rPr>
                <w:sz w:val="18"/>
                <w:szCs w:val="18"/>
              </w:rPr>
              <w:t xml:space="preserve">base associated with each measure. Electric, gas, oil, and propane savings have been converted into MMBtu/year. The source of average savings for eligible spillover equipment not present in the program database is the 2021 PSD. </w:t>
            </w:r>
          </w:p>
          <w:p w14:paraId="33E520A6" w14:textId="1A2F8393" w:rsidR="00E234BB" w:rsidRDefault="00E234BB" w:rsidP="004A4DEC">
            <w:pPr>
              <w:keepNext/>
              <w:keepLines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="003464C4">
              <w:rPr>
                <w:sz w:val="18"/>
                <w:szCs w:val="18"/>
              </w:rPr>
              <w:t>After discounting by 70% to account for upstream lightin</w:t>
            </w:r>
            <w:r w:rsidR="00902CC4">
              <w:rPr>
                <w:sz w:val="18"/>
                <w:szCs w:val="18"/>
              </w:rPr>
              <w:t>g rebates</w:t>
            </w:r>
            <w:r w:rsidR="003464C4">
              <w:rPr>
                <w:sz w:val="18"/>
                <w:szCs w:val="18"/>
              </w:rPr>
              <w:t>, average LED savings is 0.6.</w:t>
            </w:r>
          </w:p>
          <w:p w14:paraId="5378FD49" w14:textId="4BCF65AD" w:rsidR="00902CC4" w:rsidRDefault="00902CC4" w:rsidP="004A4DEC">
            <w:pPr>
              <w:keepNext/>
              <w:keepLines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Multiple spillover measures for some respondents; </w:t>
            </w:r>
            <w:r w:rsidR="00D60C12">
              <w:rPr>
                <w:sz w:val="18"/>
                <w:szCs w:val="18"/>
              </w:rPr>
              <w:t>“total” represents the number of respondents with at least one spillover measure</w:t>
            </w:r>
            <w:r w:rsidR="00DD71B9">
              <w:rPr>
                <w:sz w:val="18"/>
                <w:szCs w:val="18"/>
              </w:rPr>
              <w:t xml:space="preserve"> and total </w:t>
            </w:r>
            <w:r w:rsidR="001D2A58">
              <w:rPr>
                <w:sz w:val="18"/>
                <w:szCs w:val="18"/>
              </w:rPr>
              <w:t>MMBtu</w:t>
            </w:r>
            <w:r w:rsidR="00DD71B9">
              <w:rPr>
                <w:sz w:val="18"/>
                <w:szCs w:val="18"/>
              </w:rPr>
              <w:t xml:space="preserve"> for all spillover measures. </w:t>
            </w:r>
          </w:p>
          <w:p w14:paraId="75C3271A" w14:textId="79790C98" w:rsidR="00902CC4" w:rsidRPr="004A4DEC" w:rsidRDefault="00902CC4" w:rsidP="004A4DEC">
            <w:pPr>
              <w:keepNext/>
              <w:keepLines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</w:tbl>
    <w:p w14:paraId="00C5000B" w14:textId="22284197" w:rsidR="00673706" w:rsidRDefault="00BC5ED8" w:rsidP="007E7434">
      <w:r>
        <w:t xml:space="preserve">Weighted spillover for the </w:t>
      </w:r>
      <w:r w:rsidR="007F420A">
        <w:t>HES program is 8.2</w:t>
      </w:r>
      <w:r w:rsidR="00E648DD">
        <w:t>%</w:t>
      </w:r>
      <w:r w:rsidR="002A0991">
        <w:t xml:space="preserve"> with a 90% confidence interval (5.7%, 10.8%)</w:t>
      </w:r>
      <w:r w:rsidR="00E648DD">
        <w:t>.</w:t>
      </w:r>
      <w:r w:rsidR="002A0991">
        <w:t xml:space="preserve"> </w:t>
      </w:r>
      <w:r w:rsidR="004C510C">
        <w:t xml:space="preserve"> This score represents a weighted average of the percent of respondents who reported eligible SO measures, where the weights for each spillover measure are the annual average gross savings shown in </w:t>
      </w:r>
      <w:r w:rsidR="004C510C" w:rsidRPr="006328FD">
        <w:rPr>
          <w:rStyle w:val="CrossRefChar"/>
          <w:highlight w:val="yellow"/>
        </w:rPr>
        <w:fldChar w:fldCharType="begin"/>
      </w:r>
      <w:r w:rsidR="004C510C" w:rsidRPr="006328FD">
        <w:rPr>
          <w:rStyle w:val="CrossRefChar"/>
        </w:rPr>
        <w:instrText xml:space="preserve"> REF _Ref106106248 \h </w:instrText>
      </w:r>
      <w:r w:rsidR="004C510C">
        <w:rPr>
          <w:rStyle w:val="CrossRefChar"/>
          <w:highlight w:val="yellow"/>
        </w:rPr>
        <w:instrText xml:space="preserve"> \* MERGEFORMAT </w:instrText>
      </w:r>
      <w:r w:rsidR="004C510C" w:rsidRPr="006328FD">
        <w:rPr>
          <w:rStyle w:val="CrossRefChar"/>
          <w:highlight w:val="yellow"/>
        </w:rPr>
      </w:r>
      <w:r w:rsidR="004C510C" w:rsidRPr="006328FD">
        <w:rPr>
          <w:rStyle w:val="CrossRefChar"/>
          <w:highlight w:val="yellow"/>
        </w:rPr>
        <w:fldChar w:fldCharType="separate"/>
      </w:r>
      <w:r w:rsidR="004C510C" w:rsidRPr="006328FD">
        <w:rPr>
          <w:rStyle w:val="CrossRefChar"/>
        </w:rPr>
        <w:t>Table 6</w:t>
      </w:r>
      <w:r w:rsidR="004C510C" w:rsidRPr="006328FD">
        <w:rPr>
          <w:rStyle w:val="CrossRefChar"/>
          <w:highlight w:val="yellow"/>
        </w:rPr>
        <w:fldChar w:fldCharType="end"/>
      </w:r>
      <w:r w:rsidR="004C510C">
        <w:t>.</w:t>
      </w:r>
      <w:r w:rsidR="00E648DD">
        <w:t xml:space="preserve"> </w:t>
      </w:r>
    </w:p>
    <w:p w14:paraId="10BA1590" w14:textId="0CDC76C4" w:rsidR="00E15BA6" w:rsidRDefault="000C1BB9" w:rsidP="000C1BB9">
      <w:pPr>
        <w:pStyle w:val="Normalaftertable"/>
      </w:pPr>
      <w:r>
        <w:t>The NMR team performed several sensitivity analyses on</w:t>
      </w:r>
      <w:r w:rsidR="007506EC">
        <w:t xml:space="preserve"> the spillover estimate</w:t>
      </w:r>
      <w:r w:rsidR="005E7A19">
        <w:t>:</w:t>
      </w:r>
    </w:p>
    <w:p w14:paraId="1349BD41" w14:textId="50C00FFC" w:rsidR="0031602F" w:rsidRDefault="0031602F" w:rsidP="00FD670C">
      <w:pPr>
        <w:rPr>
          <w:b/>
          <w:bCs/>
        </w:rPr>
      </w:pPr>
      <w:r>
        <w:rPr>
          <w:b/>
          <w:bCs/>
        </w:rPr>
        <w:t xml:space="preserve">Lighting. </w:t>
      </w:r>
      <w:r>
        <w:t>In Connecticut, LEDs were discounted at retailers through an upstream lighting program until 2021, when the program supported only reflector lighting incentives in hard-to-reach markets.</w:t>
      </w:r>
      <w:r>
        <w:rPr>
          <w:rStyle w:val="FootnoteReference"/>
        </w:rPr>
        <w:footnoteReference w:id="10"/>
      </w:r>
      <w:r>
        <w:t xml:space="preserve"> The likelihood is high that HES participants who purchased LEDs before 2021 obtained an upstream program-incented bulb even if they did not realize it. Furthermore, the free-ridership rate for non-HTR (hard-to-reach) upstream LEDs in the 2022 Connecticut PSD is 70%. As such, the NMR team decided to discount lighting savings by 70% and count 30% of the savings from lighting towards spillover (reducing the average savings from 2.11 to 0.63). </w:t>
      </w:r>
      <w:r w:rsidRPr="007E7434">
        <w:t xml:space="preserve">This adjustment did not have a substantial effect on overall SO value; if SO savings from lighting was not adjusted, overall spillover would increase slightly from 8.2% to 8.5%. We recommend using a spillover value of 8.2%, particularly because we are not recommending adjusting to exclude </w:t>
      </w:r>
      <w:r w:rsidR="00160883" w:rsidRPr="007E7434">
        <w:t xml:space="preserve">people who reported </w:t>
      </w:r>
      <w:r w:rsidR="005E1B9B">
        <w:t xml:space="preserve">similar </w:t>
      </w:r>
      <w:r w:rsidR="00160883" w:rsidRPr="007E7434">
        <w:t xml:space="preserve">spillover measures </w:t>
      </w:r>
      <w:r w:rsidR="00EF14E4" w:rsidRPr="007E7434">
        <w:t>t</w:t>
      </w:r>
      <w:r w:rsidR="005E1B9B">
        <w:t>o those they</w:t>
      </w:r>
      <w:r w:rsidR="00EF14E4" w:rsidRPr="007E7434">
        <w:t xml:space="preserve"> received through the program, as described below.</w:t>
      </w:r>
    </w:p>
    <w:p w14:paraId="4B24ECF5" w14:textId="38AAC15C" w:rsidR="009A135F" w:rsidRDefault="009A135F" w:rsidP="00FD670C">
      <w:r>
        <w:rPr>
          <w:b/>
          <w:bCs/>
        </w:rPr>
        <w:t xml:space="preserve">Tracking data cross-check. </w:t>
      </w:r>
      <w:r w:rsidR="0019308F">
        <w:t>Fewer</w:t>
      </w:r>
      <w:r w:rsidR="00AB346C">
        <w:t xml:space="preserve"> than one in ten </w:t>
      </w:r>
      <w:r w:rsidR="004848A0">
        <w:t xml:space="preserve">respondents </w:t>
      </w:r>
      <w:r w:rsidR="0019308F">
        <w:t>(7%)</w:t>
      </w:r>
      <w:r w:rsidR="00D73F3C">
        <w:t xml:space="preserve"> </w:t>
      </w:r>
      <w:r w:rsidR="006555CE">
        <w:t xml:space="preserve">identified </w:t>
      </w:r>
      <w:r w:rsidR="00987034">
        <w:t xml:space="preserve">spillover measures that they had also verified as receiving through their participation in the HES program. </w:t>
      </w:r>
      <w:r w:rsidR="00B90278">
        <w:t>The most conservative approach would be to</w:t>
      </w:r>
      <w:r w:rsidR="00CD2AEB">
        <w:t xml:space="preserve"> assume these respondents misunderstood the spillover battery and exclude these measures from the spillover analysis. </w:t>
      </w:r>
      <w:r w:rsidR="00D22D65">
        <w:t xml:space="preserve">Total spillover with these measures excluded is </w:t>
      </w:r>
      <w:r w:rsidR="009E73C9">
        <w:t>7.1</w:t>
      </w:r>
      <w:r w:rsidR="00D22D65" w:rsidRPr="00357431">
        <w:t>%</w:t>
      </w:r>
      <w:r w:rsidR="00D22D65">
        <w:t xml:space="preserve">, </w:t>
      </w:r>
      <w:r w:rsidR="00A40413">
        <w:t xml:space="preserve">compared to </w:t>
      </w:r>
      <w:r w:rsidR="0031602F">
        <w:t>8.2</w:t>
      </w:r>
      <w:r w:rsidR="00A40413">
        <w:t>% with the</w:t>
      </w:r>
      <w:r w:rsidR="00E858FD">
        <w:t>se</w:t>
      </w:r>
      <w:r w:rsidR="00A40413">
        <w:t xml:space="preserve"> measures included</w:t>
      </w:r>
      <w:r w:rsidR="005F7F6A">
        <w:t xml:space="preserve"> (and the</w:t>
      </w:r>
      <w:r w:rsidR="00E858FD">
        <w:t xml:space="preserve"> discount rate for LED lighting SO as described</w:t>
      </w:r>
      <w:r w:rsidR="005F7F6A">
        <w:t xml:space="preserve"> </w:t>
      </w:r>
      <w:r w:rsidR="0031602F">
        <w:t>above</w:t>
      </w:r>
      <w:r w:rsidR="005F7F6A">
        <w:t>)</w:t>
      </w:r>
      <w:r w:rsidR="00A40413">
        <w:t>. Therefore, the effect of potential double-counting</w:t>
      </w:r>
      <w:r w:rsidR="00E858FD">
        <w:t xml:space="preserve"> of SO measures</w:t>
      </w:r>
      <w:r w:rsidR="00A40413">
        <w:t xml:space="preserve"> is limited and we </w:t>
      </w:r>
      <w:r w:rsidR="0078414E">
        <w:t xml:space="preserve">recommend using the </w:t>
      </w:r>
      <w:r w:rsidR="0031602F">
        <w:t>8.2</w:t>
      </w:r>
      <w:r w:rsidR="0078414E" w:rsidRPr="00BB1B71">
        <w:t>%</w:t>
      </w:r>
      <w:r w:rsidR="0078414E">
        <w:t xml:space="preserve"> value.</w:t>
      </w:r>
    </w:p>
    <w:p w14:paraId="47CD7FB8" w14:textId="46B139A9" w:rsidR="001D2A58" w:rsidRPr="001D2A58" w:rsidRDefault="001D2A58" w:rsidP="00FD670C">
      <w:r>
        <w:rPr>
          <w:b/>
          <w:bCs/>
        </w:rPr>
        <w:t xml:space="preserve">Benchmarking. </w:t>
      </w:r>
      <w:r>
        <w:t xml:space="preserve">The Massachusetts </w:t>
      </w:r>
      <w:r w:rsidR="004909CF">
        <w:t>residential coordinated delivery (RCD)</w:t>
      </w:r>
      <w:r w:rsidR="00BF5F21">
        <w:t xml:space="preserve"> reports a </w:t>
      </w:r>
      <w:r w:rsidR="001644A4">
        <w:t xml:space="preserve">participant </w:t>
      </w:r>
      <w:r w:rsidR="00BF5F21">
        <w:t xml:space="preserve">spillover value of </w:t>
      </w:r>
      <w:r w:rsidR="001644A4">
        <w:t>12% at the program level.</w:t>
      </w:r>
      <w:r w:rsidR="00670B47">
        <w:rPr>
          <w:rStyle w:val="FootnoteReference"/>
        </w:rPr>
        <w:footnoteReference w:id="11"/>
      </w:r>
      <w:r w:rsidR="001644A4">
        <w:t xml:space="preserve"> </w:t>
      </w:r>
      <w:r w:rsidR="00293541">
        <w:t>Similar to the Connecticut</w:t>
      </w:r>
      <w:r w:rsidR="00670B47">
        <w:t xml:space="preserve"> HES</w:t>
      </w:r>
      <w:r w:rsidR="00293541">
        <w:t xml:space="preserve"> program, residential customers receive an energy assessment and have an opportunity to </w:t>
      </w:r>
      <w:r w:rsidR="00670B47">
        <w:t>adopt deeper savings measures.</w:t>
      </w:r>
      <w:r w:rsidR="001003AE">
        <w:t xml:space="preserve"> </w:t>
      </w:r>
      <w:r w:rsidR="00CC15F8">
        <w:t xml:space="preserve">Program-level participant spillover for this study also includes multi-family households and other program tracks, so </w:t>
      </w:r>
      <w:r w:rsidR="00EC0BCA">
        <w:t>while the Massachusetts study is not a direct comparison, the NMR team feels comfortable recommending an 8.2% participant spillover value for the R1983 HES study.</w:t>
      </w:r>
    </w:p>
    <w:p w14:paraId="1BFA5C4D" w14:textId="0E9074EF" w:rsidR="00D93A54" w:rsidRDefault="00D93A54" w:rsidP="00D93A54">
      <w:pPr>
        <w:pStyle w:val="Heading3"/>
      </w:pPr>
      <w:r>
        <w:t>Non-Participant Spillover</w:t>
      </w:r>
      <w:r w:rsidR="007F70B7">
        <w:t xml:space="preserve"> (NPSO)</w:t>
      </w:r>
    </w:p>
    <w:p w14:paraId="05D1B0EF" w14:textId="1F332AD9" w:rsidR="007F70B7" w:rsidRDefault="007F70B7" w:rsidP="00D93A54">
      <w:r>
        <w:t xml:space="preserve">Non-participant spillover estimates the impact of the program on a trade ally’s non-participant customers. The Massachusetts Residential NTG Measurement algorithm specifies that trade ally surveys should assess the following elements to quantify non-participant spillover: the number of program-qualified measures sold or installed, the percentage of measures that received rebates, and the influence of the program on the sales of program-qualified but not rebated measures. </w:t>
      </w:r>
      <w:r w:rsidR="009D1C82">
        <w:t xml:space="preserve">The R1983 interview guide was unable to collect </w:t>
      </w:r>
      <w:r w:rsidR="00275181">
        <w:t xml:space="preserve">this granular information on NPSO for the reasons outlined below. </w:t>
      </w:r>
      <w:r w:rsidR="003E39FB">
        <w:t xml:space="preserve">Therefore, the NMR team offers a qualitative assessment of non-participant spillover which we believe supports the findings from the participant spillover calculation. </w:t>
      </w:r>
    </w:p>
    <w:p w14:paraId="63A00735" w14:textId="36AC29F0" w:rsidR="008F23CC" w:rsidRDefault="002F18F5" w:rsidP="00D93A54">
      <w:r>
        <w:t xml:space="preserve">The NMR team conducted </w:t>
      </w:r>
      <w:r w:rsidR="00D416E6">
        <w:t xml:space="preserve">in-depth </w:t>
      </w:r>
      <w:r>
        <w:t xml:space="preserve">interviews with seventeen HES and HES-IE program vendors. </w:t>
      </w:r>
      <w:r w:rsidR="008F23CC">
        <w:t xml:space="preserve">Most of the vendors indicated that </w:t>
      </w:r>
      <w:r w:rsidR="003B509D">
        <w:t>most or</w:t>
      </w:r>
      <w:r w:rsidR="008F23CC">
        <w:t xml:space="preserve"> all of their residential work came</w:t>
      </w:r>
      <w:r w:rsidR="009C1342">
        <w:t xml:space="preserve"> through the HES program</w:t>
      </w:r>
      <w:r w:rsidR="007F00D6">
        <w:t xml:space="preserve"> or related services (e.g., insulation or HVAC installation). </w:t>
      </w:r>
      <w:r w:rsidR="009F449B">
        <w:t xml:space="preserve">The few respondents </w:t>
      </w:r>
      <w:r w:rsidR="00B17564">
        <w:t>whose compan</w:t>
      </w:r>
      <w:r w:rsidR="00974049">
        <w:t>ies</w:t>
      </w:r>
      <w:r w:rsidR="00B17564">
        <w:t xml:space="preserve"> had </w:t>
      </w:r>
      <w:r w:rsidR="00AA2DA2">
        <w:t xml:space="preserve">residential work outside the program had difficulty estimating </w:t>
      </w:r>
      <w:r w:rsidR="00603BBE">
        <w:t xml:space="preserve">the program impact on their non-program practices. In addition, sometimes the non-program installations occurred in other departments of the company, and the vendors could not </w:t>
      </w:r>
      <w:r w:rsidR="00D758EC">
        <w:t xml:space="preserve">speak confidently about work done in other departments. </w:t>
      </w:r>
      <w:r w:rsidR="00F568E7">
        <w:t xml:space="preserve">For these reasons, the NMR team </w:t>
      </w:r>
      <w:r w:rsidR="006A5EB3">
        <w:t>wa</w:t>
      </w:r>
      <w:r w:rsidR="002F65A1">
        <w:t xml:space="preserve">s unable to quantify non-participant spillover, but </w:t>
      </w:r>
      <w:r w:rsidR="00D416E6">
        <w:t>gleaned the following qualitative findings from vendor interviews:</w:t>
      </w:r>
    </w:p>
    <w:p w14:paraId="7E2CCC41" w14:textId="4B2B5112" w:rsidR="00D416E6" w:rsidRDefault="00D416E6" w:rsidP="00D416E6">
      <w:pPr>
        <w:pStyle w:val="ListParagraph"/>
        <w:numPr>
          <w:ilvl w:val="0"/>
          <w:numId w:val="32"/>
        </w:numPr>
      </w:pPr>
      <w:r>
        <w:rPr>
          <w:b/>
          <w:bCs/>
        </w:rPr>
        <w:t>Energy assessments conducted outside the program</w:t>
      </w:r>
      <w:r>
        <w:t xml:space="preserve">. </w:t>
      </w:r>
      <w:r w:rsidR="00AA644C">
        <w:t>Due to their familiarity with the program, respondents referred non-participant customers through the program so that the customers could</w:t>
      </w:r>
      <w:r w:rsidR="00C21252">
        <w:t xml:space="preserve"> gain program benefits and </w:t>
      </w:r>
      <w:r w:rsidR="00E46260">
        <w:t>receive an asse</w:t>
      </w:r>
      <w:r w:rsidR="00795062">
        <w:t>ssment for the cost of the program</w:t>
      </w:r>
      <w:r w:rsidR="00C21252">
        <w:t xml:space="preserve"> co-pay. On</w:t>
      </w:r>
      <w:r w:rsidR="00F239F4">
        <w:t xml:space="preserve">e vendor said that some of their solar customers were not eligible to participate in HES </w:t>
      </w:r>
      <w:r w:rsidR="00CD7624">
        <w:t xml:space="preserve">again </w:t>
      </w:r>
      <w:r w:rsidR="00F239F4">
        <w:t xml:space="preserve">due to </w:t>
      </w:r>
      <w:r w:rsidR="00CD7624">
        <w:t xml:space="preserve">recent program </w:t>
      </w:r>
      <w:r w:rsidR="00F239F4">
        <w:t>participation; in these cases, the company performed a</w:t>
      </w:r>
      <w:r w:rsidR="00EF09B9">
        <w:t xml:space="preserve"> “clipboard audit”</w:t>
      </w:r>
      <w:r w:rsidR="00FC7DC2">
        <w:rPr>
          <w:rStyle w:val="FootnoteReference"/>
        </w:rPr>
        <w:footnoteReference w:id="12"/>
      </w:r>
      <w:r w:rsidR="00EF09B9">
        <w:t xml:space="preserve"> to move them through the solar installation process. </w:t>
      </w:r>
    </w:p>
    <w:p w14:paraId="49AD7DE5" w14:textId="57D1F5DB" w:rsidR="00BA3DEB" w:rsidRDefault="00F751D6" w:rsidP="00D416E6">
      <w:pPr>
        <w:pStyle w:val="ListParagraph"/>
        <w:numPr>
          <w:ilvl w:val="0"/>
          <w:numId w:val="32"/>
        </w:numPr>
      </w:pPr>
      <w:r>
        <w:rPr>
          <w:b/>
          <w:bCs/>
        </w:rPr>
        <w:t xml:space="preserve">High-efficiency equipment recommended to non-participant customers. </w:t>
      </w:r>
      <w:r w:rsidR="008237AD">
        <w:t>Similar to questions</w:t>
      </w:r>
      <w:r w:rsidR="009A6314">
        <w:t xml:space="preserve"> about non-program energy assessments, respondents indicated that they encouraged customers to participate in the program </w:t>
      </w:r>
      <w:r w:rsidR="008616C1">
        <w:t xml:space="preserve">to access program incentives. </w:t>
      </w:r>
      <w:r w:rsidR="00970750">
        <w:t xml:space="preserve">Vendors with non-participant customers elaborated on their </w:t>
      </w:r>
      <w:r w:rsidR="00BA3DEB">
        <w:t>business practices:</w:t>
      </w:r>
    </w:p>
    <w:p w14:paraId="2B15FF78" w14:textId="7274B608" w:rsidR="00BA3DEB" w:rsidRPr="00BA3DEB" w:rsidRDefault="00BA3DEB" w:rsidP="00BA3DEB">
      <w:pPr>
        <w:pStyle w:val="ListParagraph"/>
        <w:numPr>
          <w:ilvl w:val="1"/>
          <w:numId w:val="32"/>
        </w:numPr>
      </w:pPr>
      <w:r>
        <w:t xml:space="preserve">One vendor who estimated that only 30% of their company’s residential work came through the </w:t>
      </w:r>
      <w:r w:rsidR="00EA285C">
        <w:t>HES program said that they recommended high-efficiency equipment to their customers, depending on the</w:t>
      </w:r>
      <w:r w:rsidR="00A33728">
        <w:t>ir fuel systems and budget. Generally, the vendor noted that customers were willing to go along with their recommendations.</w:t>
      </w:r>
    </w:p>
    <w:p w14:paraId="628D33D4" w14:textId="2CD1B5FD" w:rsidR="00962976" w:rsidRDefault="003E62B6" w:rsidP="00BA3DEB">
      <w:pPr>
        <w:pStyle w:val="ListParagraph"/>
        <w:numPr>
          <w:ilvl w:val="1"/>
          <w:numId w:val="32"/>
        </w:numPr>
      </w:pPr>
      <w:r>
        <w:t>One vendor</w:t>
      </w:r>
      <w:r w:rsidR="008713A8">
        <w:t xml:space="preserve"> </w:t>
      </w:r>
      <w:r w:rsidR="007C494A">
        <w:t xml:space="preserve">said that they made the same recommendations </w:t>
      </w:r>
      <w:r w:rsidR="007D3C0A">
        <w:t xml:space="preserve">on equipment to non-participating customers that they would to HES participants, even if the non-participants are not eligible for any incentives. </w:t>
      </w:r>
      <w:r w:rsidR="00962976">
        <w:t xml:space="preserve">The majority </w:t>
      </w:r>
      <w:r w:rsidR="00235062">
        <w:t xml:space="preserve">of the respondent’s customers were program participants. </w:t>
      </w:r>
      <w:r w:rsidR="00E50024">
        <w:t xml:space="preserve">This vendor expressed that the program has been very influential on </w:t>
      </w:r>
      <w:r w:rsidR="00573F36">
        <w:t>their business</w:t>
      </w:r>
      <w:r w:rsidR="00E50024">
        <w:t xml:space="preserve"> practices and </w:t>
      </w:r>
      <w:r w:rsidR="008713A8">
        <w:t>the program affiliation affords the company</w:t>
      </w:r>
      <w:r w:rsidR="00E50024">
        <w:t xml:space="preserve"> credibility to all of </w:t>
      </w:r>
      <w:r w:rsidR="008713A8">
        <w:t>its</w:t>
      </w:r>
      <w:r w:rsidR="00E50024">
        <w:t xml:space="preserve"> customers.</w:t>
      </w:r>
      <w:r w:rsidR="008616C1">
        <w:t xml:space="preserve"> </w:t>
      </w:r>
      <w:r w:rsidR="00E50024">
        <w:t xml:space="preserve"> </w:t>
      </w:r>
    </w:p>
    <w:p w14:paraId="38E47292" w14:textId="65AEAFC9" w:rsidR="00F751D6" w:rsidRPr="002F18F5" w:rsidRDefault="0041740D" w:rsidP="00BA3DEB">
      <w:pPr>
        <w:pStyle w:val="ListParagraph"/>
        <w:numPr>
          <w:ilvl w:val="1"/>
          <w:numId w:val="32"/>
        </w:numPr>
      </w:pPr>
      <w:r>
        <w:t>Another</w:t>
      </w:r>
      <w:r w:rsidR="00114942">
        <w:t xml:space="preserve"> vendor with non-participant </w:t>
      </w:r>
      <w:r w:rsidR="0030431C">
        <w:t xml:space="preserve">residential </w:t>
      </w:r>
      <w:r w:rsidR="00114942">
        <w:t xml:space="preserve">new construction customers </w:t>
      </w:r>
      <w:r w:rsidR="0030431C">
        <w:t>said that it was the responsibility of the new construction project’s architect or general contractor to recommend equipment</w:t>
      </w:r>
      <w:r w:rsidR="00F936F1">
        <w:t xml:space="preserve">, rather than an </w:t>
      </w:r>
      <w:r w:rsidR="00583A7A">
        <w:t xml:space="preserve">energy </w:t>
      </w:r>
      <w:r w:rsidR="00F936F1">
        <w:t xml:space="preserve">auditor at the respondent’s company. </w:t>
      </w:r>
    </w:p>
    <w:p w14:paraId="6CEC9E46" w14:textId="6BD86E4F" w:rsidR="002237CF" w:rsidRDefault="00C11383" w:rsidP="00C11383">
      <w:pPr>
        <w:pStyle w:val="Heading2"/>
      </w:pPr>
      <w:r>
        <w:t>In</w:t>
      </w:r>
      <w:r w:rsidR="008412FF">
        <w:t>stallation</w:t>
      </w:r>
      <w:r>
        <w:t xml:space="preserve"> Rate</w:t>
      </w:r>
    </w:p>
    <w:p w14:paraId="3B9D433C" w14:textId="6D27AB13" w:rsidR="00C11383" w:rsidRDefault="00584387" w:rsidP="00C11383">
      <w:r>
        <w:t>The installation rate</w:t>
      </w:r>
      <w:r w:rsidR="0008610E">
        <w:t xml:space="preserve"> represents the percentage of incented </w:t>
      </w:r>
      <w:r w:rsidR="008358BB">
        <w:t>measures</w:t>
      </w:r>
      <w:r w:rsidR="0008610E">
        <w:t xml:space="preserve"> </w:t>
      </w:r>
      <w:r w:rsidR="00F05678">
        <w:t xml:space="preserve">that program participants ultimately </w:t>
      </w:r>
      <w:r w:rsidR="0008610E">
        <w:t>install</w:t>
      </w:r>
      <w:r w:rsidR="00CA767E">
        <w:t xml:space="preserve">ed. </w:t>
      </w:r>
      <w:r w:rsidR="00F448DD">
        <w:t xml:space="preserve">For each </w:t>
      </w:r>
      <w:r w:rsidR="004D1BDF">
        <w:t>measure associated with the</w:t>
      </w:r>
      <w:r w:rsidR="00BC1309">
        <w:t>ir household</w:t>
      </w:r>
      <w:r w:rsidR="004D1BDF">
        <w:t xml:space="preserve"> in </w:t>
      </w:r>
      <w:r w:rsidR="00BC1309">
        <w:t xml:space="preserve">the </w:t>
      </w:r>
      <w:r w:rsidR="004D1BDF">
        <w:t>program</w:t>
      </w:r>
      <w:r w:rsidR="00BC1309">
        <w:t xml:space="preserve"> tracking</w:t>
      </w:r>
      <w:r w:rsidR="004D1BDF">
        <w:t xml:space="preserve"> data,</w:t>
      </w:r>
      <w:r w:rsidR="00814456">
        <w:t xml:space="preserve"> </w:t>
      </w:r>
      <w:r w:rsidR="00FA7776">
        <w:t xml:space="preserve">HES participant survey respondents were asked to confirm </w:t>
      </w:r>
      <w:r w:rsidR="00E41307">
        <w:t xml:space="preserve">which </w:t>
      </w:r>
      <w:r w:rsidR="006427A1">
        <w:t>of the measures</w:t>
      </w:r>
      <w:r w:rsidR="00E41307">
        <w:t xml:space="preserve"> </w:t>
      </w:r>
      <w:r w:rsidR="00F448DD">
        <w:t>were still installed in their homes, installed then removed, or never installed.</w:t>
      </w:r>
      <w:r w:rsidR="006427A1">
        <w:rPr>
          <w:rStyle w:val="FootnoteReference"/>
        </w:rPr>
        <w:footnoteReference w:id="13"/>
      </w:r>
    </w:p>
    <w:p w14:paraId="473D4C31" w14:textId="6ACE2AA1" w:rsidR="00C11383" w:rsidRDefault="00035795" w:rsidP="00C11383">
      <w:r w:rsidRPr="007E7434">
        <w:rPr>
          <w:rStyle w:val="CrossRefChar"/>
        </w:rPr>
        <w:fldChar w:fldCharType="begin"/>
      </w:r>
      <w:r w:rsidRPr="007E7434">
        <w:rPr>
          <w:rStyle w:val="CrossRefChar"/>
        </w:rPr>
        <w:instrText xml:space="preserve"> REF _Ref107516124 \h </w:instrText>
      </w:r>
      <w:r>
        <w:rPr>
          <w:rStyle w:val="CrossRefChar"/>
        </w:rPr>
        <w:instrText xml:space="preserve"> \* MERGEFORMAT </w:instrText>
      </w:r>
      <w:r w:rsidRPr="007E7434">
        <w:rPr>
          <w:rStyle w:val="CrossRefChar"/>
        </w:rPr>
      </w:r>
      <w:r w:rsidRPr="007E7434">
        <w:rPr>
          <w:rStyle w:val="CrossRefChar"/>
        </w:rPr>
        <w:fldChar w:fldCharType="separate"/>
      </w:r>
      <w:r w:rsidRPr="007E7434">
        <w:rPr>
          <w:rStyle w:val="CrossRefChar"/>
        </w:rPr>
        <w:t>Table 6</w:t>
      </w:r>
      <w:r w:rsidRPr="007E7434">
        <w:rPr>
          <w:rStyle w:val="CrossRefChar"/>
        </w:rPr>
        <w:fldChar w:fldCharType="end"/>
      </w:r>
      <w:r w:rsidR="004C1D87">
        <w:t xml:space="preserve"> </w:t>
      </w:r>
      <w:r w:rsidR="007D6397">
        <w:t xml:space="preserve">lists </w:t>
      </w:r>
      <w:r w:rsidR="007007B3">
        <w:t xml:space="preserve">two </w:t>
      </w:r>
      <w:r w:rsidR="00E00CDD">
        <w:t>installation rates</w:t>
      </w:r>
      <w:r w:rsidR="007007B3">
        <w:t xml:space="preserve"> for each measure</w:t>
      </w:r>
      <w:r w:rsidR="00B46519">
        <w:t>;</w:t>
      </w:r>
      <w:r w:rsidR="00CD4E7E">
        <w:t xml:space="preserve"> the first </w:t>
      </w:r>
      <w:r w:rsidR="00B46519">
        <w:t>is unweighted (i.e.</w:t>
      </w:r>
      <w:r w:rsidR="0015713B">
        <w:t>,</w:t>
      </w:r>
      <w:r w:rsidR="00B46519">
        <w:t xml:space="preserve"> a tally of responses), whereas the second </w:t>
      </w:r>
      <w:r w:rsidR="0002153C">
        <w:t xml:space="preserve">is weighted by </w:t>
      </w:r>
      <w:r w:rsidR="00041457">
        <w:t xml:space="preserve">respondents’ </w:t>
      </w:r>
      <w:r w:rsidR="00CD0C39">
        <w:t>measure-specific savings</w:t>
      </w:r>
      <w:r w:rsidR="00ED014E">
        <w:t>.</w:t>
      </w:r>
      <w:r w:rsidR="00743579">
        <w:t xml:space="preserve"> For example, the weighted </w:t>
      </w:r>
      <w:r w:rsidR="00B97CD0">
        <w:t>installation rate</w:t>
      </w:r>
      <w:r w:rsidR="00743579">
        <w:t xml:space="preserve"> for </w:t>
      </w:r>
      <w:r w:rsidR="00212520">
        <w:t xml:space="preserve">pipe wrap represents the </w:t>
      </w:r>
      <w:r w:rsidR="00844415">
        <w:t xml:space="preserve">percentage of </w:t>
      </w:r>
      <w:r w:rsidR="000C1A22">
        <w:t>all respondents’</w:t>
      </w:r>
      <w:r w:rsidR="00844415">
        <w:t xml:space="preserve"> pipe wrap savings associated with </w:t>
      </w:r>
      <w:r w:rsidR="00E94E0C">
        <w:t>those who</w:t>
      </w:r>
      <w:r w:rsidR="00E51C05">
        <w:t xml:space="preserve"> </w:t>
      </w:r>
      <w:r w:rsidR="00CD26BF">
        <w:t xml:space="preserve">reported installing </w:t>
      </w:r>
      <w:r w:rsidR="000C1A22">
        <w:t xml:space="preserve">it. </w:t>
      </w:r>
      <w:r w:rsidR="00C773B8">
        <w:t>Savings associated with</w:t>
      </w:r>
      <w:r w:rsidR="005B5118">
        <w:t xml:space="preserve"> r</w:t>
      </w:r>
      <w:r w:rsidR="000C1A22">
        <w:t xml:space="preserve">espondents who never installed the </w:t>
      </w:r>
      <w:r w:rsidR="00CD26BF">
        <w:t>pipe wrap</w:t>
      </w:r>
      <w:r w:rsidR="00CA5450">
        <w:t xml:space="preserve"> count against the </w:t>
      </w:r>
      <w:r>
        <w:t>installation rate</w:t>
      </w:r>
      <w:r w:rsidR="00CA5450">
        <w:t xml:space="preserve">, but </w:t>
      </w:r>
      <w:r w:rsidR="00736A79">
        <w:t>not those who answered</w:t>
      </w:r>
      <w:r w:rsidR="004B36D7">
        <w:t>,</w:t>
      </w:r>
      <w:r w:rsidR="00736A79">
        <w:t xml:space="preserve"> “I’m not sure”.</w:t>
      </w:r>
    </w:p>
    <w:p w14:paraId="5F07FAAA" w14:textId="4CE9EA1A" w:rsidR="00C54723" w:rsidRDefault="00093F6E" w:rsidP="00C11383">
      <w:r>
        <w:t xml:space="preserve">As the installation rate for windows in the 2022 PSD was 100%, and this estimate (93%) could be skewed by a small sample size, we recommend averaging </w:t>
      </w:r>
      <w:r w:rsidR="00F3338B">
        <w:t xml:space="preserve">the two installation rates (100% and 93%) for a window installation rate of 97.5% (98%). </w:t>
      </w:r>
    </w:p>
    <w:p w14:paraId="7C65C830" w14:textId="150CBBDF" w:rsidR="00E00CDD" w:rsidRDefault="00E00CDD" w:rsidP="007E7434">
      <w:pPr>
        <w:pStyle w:val="Caption"/>
      </w:pPr>
      <w:bookmarkStart w:id="8" w:name="_Ref107516124"/>
      <w:r>
        <w:t xml:space="preserve">Table </w:t>
      </w:r>
      <w:r w:rsidR="00EE337D">
        <w:fldChar w:fldCharType="begin"/>
      </w:r>
      <w:r w:rsidR="00EE337D">
        <w:instrText xml:space="preserve"> SEQ Table \* ARABIC </w:instrText>
      </w:r>
      <w:r w:rsidR="00EE337D">
        <w:fldChar w:fldCharType="separate"/>
      </w:r>
      <w:r w:rsidR="0022173A">
        <w:rPr>
          <w:noProof/>
        </w:rPr>
        <w:t>9</w:t>
      </w:r>
      <w:r w:rsidR="00EE337D">
        <w:rPr>
          <w:noProof/>
        </w:rPr>
        <w:fldChar w:fldCharType="end"/>
      </w:r>
      <w:bookmarkEnd w:id="8"/>
      <w:r>
        <w:t>: Installation Rate by Measure</w:t>
      </w:r>
    </w:p>
    <w:tbl>
      <w:tblPr>
        <w:tblStyle w:val="BodyEven"/>
        <w:tblW w:w="5000" w:type="pct"/>
        <w:tblLook w:val="04A0" w:firstRow="1" w:lastRow="0" w:firstColumn="1" w:lastColumn="0" w:noHBand="0" w:noVBand="1"/>
      </w:tblPr>
      <w:tblGrid>
        <w:gridCol w:w="4410"/>
        <w:gridCol w:w="990"/>
        <w:gridCol w:w="1979"/>
        <w:gridCol w:w="1981"/>
      </w:tblGrid>
      <w:tr w:rsidR="00CA4662" w14:paraId="440C0CCA" w14:textId="77777777" w:rsidTr="007E74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pct"/>
          </w:tcPr>
          <w:p w14:paraId="081C6296" w14:textId="35876531" w:rsidR="002145E0" w:rsidRDefault="00813CC5" w:rsidP="007E7434">
            <w:pPr>
              <w:spacing w:after="0" w:line="280" w:lineRule="exact"/>
            </w:pPr>
            <w:r>
              <w:t>Measure</w:t>
            </w:r>
          </w:p>
        </w:tc>
        <w:tc>
          <w:tcPr>
            <w:tcW w:w="529" w:type="pct"/>
          </w:tcPr>
          <w:p w14:paraId="43FED156" w14:textId="2046584E" w:rsidR="002145E0" w:rsidRDefault="00013107" w:rsidP="007E7434">
            <w:pPr>
              <w:spacing w:after="0"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56BD">
              <w:t>n</w:t>
            </w:r>
          </w:p>
        </w:tc>
        <w:tc>
          <w:tcPr>
            <w:tcW w:w="1057" w:type="pct"/>
          </w:tcPr>
          <w:p w14:paraId="21B1969A" w14:textId="2641D9F3" w:rsidR="002145E0" w:rsidRDefault="00F1340C" w:rsidP="007E7434">
            <w:pPr>
              <w:spacing w:after="0"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  <w:r w:rsidR="00CA4662">
              <w:t>nstallation rate</w:t>
            </w:r>
            <w:r>
              <w:t>, unweighted (%)</w:t>
            </w:r>
          </w:p>
        </w:tc>
        <w:tc>
          <w:tcPr>
            <w:tcW w:w="1058" w:type="pct"/>
          </w:tcPr>
          <w:p w14:paraId="34EB5AED" w14:textId="47530E40" w:rsidR="002145E0" w:rsidRDefault="00F1340C" w:rsidP="007E7434">
            <w:pPr>
              <w:spacing w:after="0"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  <w:r w:rsidR="00CA4662">
              <w:t>nstallation rate</w:t>
            </w:r>
            <w:r>
              <w:t>, weighted (%)</w:t>
            </w:r>
          </w:p>
        </w:tc>
      </w:tr>
      <w:tr w:rsidR="00CA4662" w14:paraId="1C93FC33" w14:textId="77777777" w:rsidTr="00CA46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pct"/>
          </w:tcPr>
          <w:p w14:paraId="1D53814B" w14:textId="514B6FA2" w:rsidR="002145E0" w:rsidRDefault="00013107" w:rsidP="007E7434">
            <w:pPr>
              <w:spacing w:after="0" w:line="280" w:lineRule="exact"/>
              <w:jc w:val="left"/>
            </w:pPr>
            <w:r w:rsidRPr="001E56BD">
              <w:t>Energy-efficient LED light bulbs</w:t>
            </w:r>
          </w:p>
        </w:tc>
        <w:tc>
          <w:tcPr>
            <w:tcW w:w="529" w:type="pct"/>
          </w:tcPr>
          <w:p w14:paraId="2793E0E8" w14:textId="560679C3" w:rsidR="002145E0" w:rsidRDefault="00013107" w:rsidP="007E7434">
            <w:pPr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6BD">
              <w:t>755</w:t>
            </w:r>
          </w:p>
        </w:tc>
        <w:tc>
          <w:tcPr>
            <w:tcW w:w="1057" w:type="pct"/>
          </w:tcPr>
          <w:p w14:paraId="6F27E2C5" w14:textId="67E4687B" w:rsidR="002145E0" w:rsidRDefault="00CF3F0E" w:rsidP="007E7434">
            <w:pPr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5213">
              <w:t>98%</w:t>
            </w:r>
          </w:p>
        </w:tc>
        <w:tc>
          <w:tcPr>
            <w:tcW w:w="1058" w:type="pct"/>
          </w:tcPr>
          <w:p w14:paraId="68338C23" w14:textId="683FB456" w:rsidR="002145E0" w:rsidRDefault="00CF3F0E" w:rsidP="007E7434">
            <w:pPr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5213">
              <w:t>98%</w:t>
            </w:r>
          </w:p>
        </w:tc>
      </w:tr>
      <w:tr w:rsidR="00CA4662" w14:paraId="0776B6D1" w14:textId="77777777" w:rsidTr="007E74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pct"/>
          </w:tcPr>
          <w:p w14:paraId="743EF010" w14:textId="7F2922E9" w:rsidR="002145E0" w:rsidRDefault="00013107" w:rsidP="007E7434">
            <w:pPr>
              <w:spacing w:after="0" w:line="280" w:lineRule="exact"/>
              <w:jc w:val="left"/>
            </w:pPr>
            <w:r w:rsidRPr="001E56BD">
              <w:t>Door and window weatherization</w:t>
            </w:r>
          </w:p>
        </w:tc>
        <w:tc>
          <w:tcPr>
            <w:tcW w:w="529" w:type="pct"/>
          </w:tcPr>
          <w:p w14:paraId="2D8C9737" w14:textId="682D4C56" w:rsidR="002145E0" w:rsidRDefault="00013107" w:rsidP="007E7434">
            <w:pPr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E56BD">
              <w:t>455</w:t>
            </w:r>
          </w:p>
        </w:tc>
        <w:tc>
          <w:tcPr>
            <w:tcW w:w="1057" w:type="pct"/>
          </w:tcPr>
          <w:p w14:paraId="0591E722" w14:textId="28DDF838" w:rsidR="002145E0" w:rsidRDefault="00CF3F0E" w:rsidP="007E7434">
            <w:pPr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D5213">
              <w:t>92%</w:t>
            </w:r>
          </w:p>
        </w:tc>
        <w:tc>
          <w:tcPr>
            <w:tcW w:w="1058" w:type="pct"/>
          </w:tcPr>
          <w:p w14:paraId="495CC823" w14:textId="14DB37B8" w:rsidR="002145E0" w:rsidRDefault="00CF3F0E" w:rsidP="007E7434">
            <w:pPr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D5213">
              <w:t>92%</w:t>
            </w:r>
          </w:p>
        </w:tc>
      </w:tr>
      <w:tr w:rsidR="00CA4662" w14:paraId="1490F0AC" w14:textId="77777777" w:rsidTr="00CA46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pct"/>
          </w:tcPr>
          <w:p w14:paraId="70502A11" w14:textId="5FC9DA01" w:rsidR="002145E0" w:rsidRDefault="00013107" w:rsidP="007E7434">
            <w:pPr>
              <w:spacing w:after="0" w:line="280" w:lineRule="exact"/>
              <w:jc w:val="left"/>
            </w:pPr>
            <w:r w:rsidRPr="001E56BD">
              <w:t>Water-saving showerhead</w:t>
            </w:r>
          </w:p>
        </w:tc>
        <w:tc>
          <w:tcPr>
            <w:tcW w:w="529" w:type="pct"/>
          </w:tcPr>
          <w:p w14:paraId="4E6ACC94" w14:textId="5DBD43F5" w:rsidR="002145E0" w:rsidRDefault="00013107" w:rsidP="007E7434">
            <w:pPr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6BD">
              <w:t>274</w:t>
            </w:r>
          </w:p>
        </w:tc>
        <w:tc>
          <w:tcPr>
            <w:tcW w:w="1057" w:type="pct"/>
          </w:tcPr>
          <w:p w14:paraId="72373416" w14:textId="34227519" w:rsidR="002145E0" w:rsidRDefault="00CF3F0E" w:rsidP="007E7434">
            <w:pPr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5213">
              <w:t>81%</w:t>
            </w:r>
          </w:p>
        </w:tc>
        <w:tc>
          <w:tcPr>
            <w:tcW w:w="1058" w:type="pct"/>
          </w:tcPr>
          <w:p w14:paraId="4AD62687" w14:textId="1255B77A" w:rsidR="002145E0" w:rsidRDefault="00CF3F0E" w:rsidP="007E7434">
            <w:pPr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5213">
              <w:t>82%</w:t>
            </w:r>
          </w:p>
        </w:tc>
      </w:tr>
      <w:tr w:rsidR="00CA4662" w14:paraId="6F380F04" w14:textId="77777777" w:rsidTr="007E74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pct"/>
          </w:tcPr>
          <w:p w14:paraId="176DB1FB" w14:textId="589A16AC" w:rsidR="002145E0" w:rsidRDefault="00013107" w:rsidP="007E7434">
            <w:pPr>
              <w:spacing w:after="0" w:line="280" w:lineRule="exact"/>
              <w:jc w:val="left"/>
            </w:pPr>
            <w:r w:rsidRPr="001E56BD">
              <w:t>Insulation</w:t>
            </w:r>
          </w:p>
        </w:tc>
        <w:tc>
          <w:tcPr>
            <w:tcW w:w="529" w:type="pct"/>
          </w:tcPr>
          <w:p w14:paraId="6651A633" w14:textId="2A64999B" w:rsidR="002145E0" w:rsidRDefault="00013107" w:rsidP="007E7434">
            <w:pPr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E56BD">
              <w:t>203</w:t>
            </w:r>
          </w:p>
        </w:tc>
        <w:tc>
          <w:tcPr>
            <w:tcW w:w="1057" w:type="pct"/>
          </w:tcPr>
          <w:p w14:paraId="6561DF52" w14:textId="4680717C" w:rsidR="002145E0" w:rsidRDefault="00CF3F0E" w:rsidP="007E7434">
            <w:pPr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D5213">
              <w:t>100%</w:t>
            </w:r>
          </w:p>
        </w:tc>
        <w:tc>
          <w:tcPr>
            <w:tcW w:w="1058" w:type="pct"/>
          </w:tcPr>
          <w:p w14:paraId="76C14319" w14:textId="1FCE6723" w:rsidR="002145E0" w:rsidRDefault="00CF3F0E" w:rsidP="007E7434">
            <w:pPr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D5213">
              <w:t>100%</w:t>
            </w:r>
          </w:p>
        </w:tc>
      </w:tr>
      <w:tr w:rsidR="00CA4662" w14:paraId="5512D79A" w14:textId="77777777" w:rsidTr="00CA46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pct"/>
          </w:tcPr>
          <w:p w14:paraId="54A4ECE3" w14:textId="58766E98" w:rsidR="002145E0" w:rsidRDefault="00013107" w:rsidP="007E7434">
            <w:pPr>
              <w:spacing w:after="0" w:line="280" w:lineRule="exact"/>
              <w:jc w:val="left"/>
            </w:pPr>
            <w:proofErr w:type="spellStart"/>
            <w:r w:rsidRPr="001E56BD">
              <w:t>WiFi</w:t>
            </w:r>
            <w:proofErr w:type="spellEnd"/>
            <w:r w:rsidRPr="001E56BD">
              <w:t>-enabled smart thermostat</w:t>
            </w:r>
          </w:p>
        </w:tc>
        <w:tc>
          <w:tcPr>
            <w:tcW w:w="529" w:type="pct"/>
          </w:tcPr>
          <w:p w14:paraId="5620919C" w14:textId="527DB4F5" w:rsidR="002145E0" w:rsidRDefault="00013107" w:rsidP="007E7434">
            <w:pPr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6BD">
              <w:t>166</w:t>
            </w:r>
          </w:p>
        </w:tc>
        <w:tc>
          <w:tcPr>
            <w:tcW w:w="1057" w:type="pct"/>
          </w:tcPr>
          <w:p w14:paraId="3A7F0303" w14:textId="4F00AE13" w:rsidR="002145E0" w:rsidRDefault="00CF3F0E" w:rsidP="007E7434">
            <w:pPr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5213">
              <w:t>96%</w:t>
            </w:r>
          </w:p>
        </w:tc>
        <w:tc>
          <w:tcPr>
            <w:tcW w:w="1058" w:type="pct"/>
          </w:tcPr>
          <w:p w14:paraId="35A34ECD" w14:textId="2035FC74" w:rsidR="002145E0" w:rsidRDefault="00CF3F0E" w:rsidP="007E7434">
            <w:pPr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5213">
              <w:t>96%</w:t>
            </w:r>
          </w:p>
        </w:tc>
      </w:tr>
      <w:tr w:rsidR="00CA4662" w14:paraId="27C65ECE" w14:textId="77777777" w:rsidTr="007E74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pct"/>
          </w:tcPr>
          <w:p w14:paraId="4EE61393" w14:textId="2863E43B" w:rsidR="002145E0" w:rsidRDefault="00013107" w:rsidP="007E7434">
            <w:pPr>
              <w:spacing w:after="0" w:line="280" w:lineRule="exact"/>
              <w:jc w:val="left"/>
            </w:pPr>
            <w:r w:rsidRPr="001E56BD">
              <w:t>Water-saving faucet aerators</w:t>
            </w:r>
          </w:p>
        </w:tc>
        <w:tc>
          <w:tcPr>
            <w:tcW w:w="529" w:type="pct"/>
          </w:tcPr>
          <w:p w14:paraId="6B89C611" w14:textId="1B37856D" w:rsidR="002145E0" w:rsidRDefault="00013107" w:rsidP="007E7434">
            <w:pPr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E56BD">
              <w:t>150</w:t>
            </w:r>
          </w:p>
        </w:tc>
        <w:tc>
          <w:tcPr>
            <w:tcW w:w="1057" w:type="pct"/>
          </w:tcPr>
          <w:p w14:paraId="1F8067F3" w14:textId="18901A31" w:rsidR="002145E0" w:rsidRDefault="00013107" w:rsidP="007E7434">
            <w:pPr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E56BD">
              <w:t>86</w:t>
            </w:r>
            <w:r w:rsidR="00CF3F0E" w:rsidRPr="005D5213">
              <w:t>%</w:t>
            </w:r>
          </w:p>
        </w:tc>
        <w:tc>
          <w:tcPr>
            <w:tcW w:w="1058" w:type="pct"/>
          </w:tcPr>
          <w:p w14:paraId="1C208CCD" w14:textId="7C71E8CF" w:rsidR="002145E0" w:rsidRDefault="00CF3F0E" w:rsidP="007E7434">
            <w:pPr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D5213">
              <w:t>85%</w:t>
            </w:r>
          </w:p>
        </w:tc>
      </w:tr>
      <w:tr w:rsidR="00CA4662" w14:paraId="2AEAA29B" w14:textId="77777777" w:rsidTr="00CA46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pct"/>
          </w:tcPr>
          <w:p w14:paraId="002FBF82" w14:textId="65AC265F" w:rsidR="002145E0" w:rsidRDefault="00013107" w:rsidP="007E7434">
            <w:pPr>
              <w:spacing w:after="0" w:line="280" w:lineRule="exact"/>
              <w:jc w:val="left"/>
            </w:pPr>
            <w:r w:rsidRPr="001E56BD">
              <w:t>Water heater pipe wrap or insulation</w:t>
            </w:r>
          </w:p>
        </w:tc>
        <w:tc>
          <w:tcPr>
            <w:tcW w:w="529" w:type="pct"/>
          </w:tcPr>
          <w:p w14:paraId="42D29A52" w14:textId="1848F596" w:rsidR="002145E0" w:rsidRDefault="00013107" w:rsidP="007E7434">
            <w:pPr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56BD">
              <w:t>150</w:t>
            </w:r>
          </w:p>
        </w:tc>
        <w:tc>
          <w:tcPr>
            <w:tcW w:w="1057" w:type="pct"/>
          </w:tcPr>
          <w:p w14:paraId="24770932" w14:textId="662DD594" w:rsidR="002145E0" w:rsidRDefault="00CF3F0E" w:rsidP="007E7434">
            <w:pPr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5213">
              <w:t>97%</w:t>
            </w:r>
          </w:p>
        </w:tc>
        <w:tc>
          <w:tcPr>
            <w:tcW w:w="1058" w:type="pct"/>
          </w:tcPr>
          <w:p w14:paraId="05A87705" w14:textId="2A913585" w:rsidR="002145E0" w:rsidRDefault="00CF3F0E" w:rsidP="007E7434">
            <w:pPr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5213">
              <w:t>97%</w:t>
            </w:r>
          </w:p>
        </w:tc>
      </w:tr>
      <w:tr w:rsidR="00CA4662" w14:paraId="10060FA4" w14:textId="77777777" w:rsidTr="007E74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pct"/>
          </w:tcPr>
          <w:p w14:paraId="518BD9F1" w14:textId="70B341E7" w:rsidR="0012176A" w:rsidRPr="001E56BD" w:rsidRDefault="000918AF" w:rsidP="007E7434">
            <w:pPr>
              <w:spacing w:after="0" w:line="280" w:lineRule="exact"/>
              <w:jc w:val="left"/>
            </w:pPr>
            <w:r w:rsidRPr="004E37DC">
              <w:t>Refrigerator</w:t>
            </w:r>
          </w:p>
        </w:tc>
        <w:tc>
          <w:tcPr>
            <w:tcW w:w="529" w:type="pct"/>
          </w:tcPr>
          <w:p w14:paraId="7D34C8CA" w14:textId="27F41D73" w:rsidR="0012176A" w:rsidRPr="001E56BD" w:rsidRDefault="000918AF" w:rsidP="007E7434">
            <w:pPr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E37DC">
              <w:t>37</w:t>
            </w:r>
          </w:p>
        </w:tc>
        <w:tc>
          <w:tcPr>
            <w:tcW w:w="1057" w:type="pct"/>
          </w:tcPr>
          <w:p w14:paraId="6D07F035" w14:textId="5B1A9938" w:rsidR="0012176A" w:rsidRPr="005D5213" w:rsidRDefault="000918AF" w:rsidP="007E7434">
            <w:pPr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E37DC">
              <w:t>97%</w:t>
            </w:r>
          </w:p>
        </w:tc>
        <w:tc>
          <w:tcPr>
            <w:tcW w:w="1058" w:type="pct"/>
          </w:tcPr>
          <w:p w14:paraId="649700C9" w14:textId="2674EE62" w:rsidR="0012176A" w:rsidRPr="005D5213" w:rsidRDefault="000918AF" w:rsidP="007E7434">
            <w:pPr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E37DC">
              <w:t>97%</w:t>
            </w:r>
          </w:p>
        </w:tc>
      </w:tr>
      <w:tr w:rsidR="006450D2" w14:paraId="09E033B1" w14:textId="77777777" w:rsidTr="007E74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pct"/>
          </w:tcPr>
          <w:p w14:paraId="684C5B4A" w14:textId="6EE9F4CC" w:rsidR="0012176A" w:rsidRPr="001E56BD" w:rsidRDefault="000918AF" w:rsidP="007E7434">
            <w:pPr>
              <w:spacing w:after="0" w:line="280" w:lineRule="exact"/>
              <w:jc w:val="left"/>
            </w:pPr>
            <w:r w:rsidRPr="004E37DC">
              <w:t>Ductless heat pump(s)</w:t>
            </w:r>
          </w:p>
        </w:tc>
        <w:tc>
          <w:tcPr>
            <w:tcW w:w="529" w:type="pct"/>
          </w:tcPr>
          <w:p w14:paraId="54571201" w14:textId="20613617" w:rsidR="0012176A" w:rsidRPr="001E56BD" w:rsidRDefault="000918AF" w:rsidP="007E7434">
            <w:pPr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37DC">
              <w:t>31</w:t>
            </w:r>
          </w:p>
        </w:tc>
        <w:tc>
          <w:tcPr>
            <w:tcW w:w="1057" w:type="pct"/>
          </w:tcPr>
          <w:p w14:paraId="2B5A8E53" w14:textId="4C64CD1F" w:rsidR="0012176A" w:rsidRPr="005D5213" w:rsidRDefault="000918AF" w:rsidP="007E7434">
            <w:pPr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37DC">
              <w:t>97%</w:t>
            </w:r>
          </w:p>
        </w:tc>
        <w:tc>
          <w:tcPr>
            <w:tcW w:w="1058" w:type="pct"/>
          </w:tcPr>
          <w:p w14:paraId="4C12D773" w14:textId="521E0403" w:rsidR="0012176A" w:rsidRPr="005D5213" w:rsidRDefault="000918AF" w:rsidP="007E7434">
            <w:pPr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37DC">
              <w:t>98%</w:t>
            </w:r>
          </w:p>
        </w:tc>
      </w:tr>
      <w:tr w:rsidR="00CA4662" w14:paraId="26DD079A" w14:textId="77777777" w:rsidTr="007E74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pct"/>
          </w:tcPr>
          <w:p w14:paraId="49512285" w14:textId="648CDA8D" w:rsidR="0012176A" w:rsidRPr="001E56BD" w:rsidRDefault="000918AF" w:rsidP="007E7434">
            <w:pPr>
              <w:spacing w:after="0" w:line="280" w:lineRule="exact"/>
              <w:jc w:val="left"/>
            </w:pPr>
            <w:r w:rsidRPr="004E37DC">
              <w:t>Clothes washer</w:t>
            </w:r>
          </w:p>
        </w:tc>
        <w:tc>
          <w:tcPr>
            <w:tcW w:w="529" w:type="pct"/>
          </w:tcPr>
          <w:p w14:paraId="48A6229B" w14:textId="0AA94FE8" w:rsidR="0012176A" w:rsidRPr="001E56BD" w:rsidRDefault="000918AF" w:rsidP="007E7434">
            <w:pPr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E37DC">
              <w:t>28</w:t>
            </w:r>
          </w:p>
        </w:tc>
        <w:tc>
          <w:tcPr>
            <w:tcW w:w="1057" w:type="pct"/>
          </w:tcPr>
          <w:p w14:paraId="288A696E" w14:textId="1C6B345A" w:rsidR="0012176A" w:rsidRPr="005D5213" w:rsidRDefault="000918AF" w:rsidP="007E7434">
            <w:pPr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E37DC">
              <w:t>96%</w:t>
            </w:r>
          </w:p>
        </w:tc>
        <w:tc>
          <w:tcPr>
            <w:tcW w:w="1058" w:type="pct"/>
          </w:tcPr>
          <w:p w14:paraId="60FB619F" w14:textId="57C41598" w:rsidR="0012176A" w:rsidRPr="005D5213" w:rsidRDefault="000918AF" w:rsidP="007E7434">
            <w:pPr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E37DC">
              <w:t>96%</w:t>
            </w:r>
          </w:p>
        </w:tc>
      </w:tr>
      <w:tr w:rsidR="006450D2" w14:paraId="24C76CA5" w14:textId="77777777" w:rsidTr="007E74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pct"/>
          </w:tcPr>
          <w:p w14:paraId="5B159602" w14:textId="1852234F" w:rsidR="0012176A" w:rsidRPr="001E56BD" w:rsidRDefault="000918AF" w:rsidP="007E7434">
            <w:pPr>
              <w:spacing w:after="0" w:line="280" w:lineRule="exact"/>
              <w:jc w:val="left"/>
            </w:pPr>
            <w:r w:rsidRPr="004E37DC">
              <w:t>Energy-efficient windows</w:t>
            </w:r>
            <w:r w:rsidR="006C75F9" w:rsidRPr="007E7434">
              <w:rPr>
                <w:vertAlign w:val="superscript"/>
              </w:rPr>
              <w:t>1</w:t>
            </w:r>
          </w:p>
        </w:tc>
        <w:tc>
          <w:tcPr>
            <w:tcW w:w="529" w:type="pct"/>
          </w:tcPr>
          <w:p w14:paraId="66289F78" w14:textId="19BABB59" w:rsidR="0012176A" w:rsidRPr="001E56BD" w:rsidRDefault="000918AF" w:rsidP="007E7434">
            <w:pPr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37DC">
              <w:t>26</w:t>
            </w:r>
          </w:p>
        </w:tc>
        <w:tc>
          <w:tcPr>
            <w:tcW w:w="1057" w:type="pct"/>
          </w:tcPr>
          <w:p w14:paraId="3F7AA924" w14:textId="2BB1F450" w:rsidR="0012176A" w:rsidRPr="005D5213" w:rsidRDefault="000918AF" w:rsidP="007E7434">
            <w:pPr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37DC">
              <w:t>96%</w:t>
            </w:r>
          </w:p>
        </w:tc>
        <w:tc>
          <w:tcPr>
            <w:tcW w:w="1058" w:type="pct"/>
          </w:tcPr>
          <w:p w14:paraId="5FB7AF28" w14:textId="64F676A1" w:rsidR="0012176A" w:rsidRPr="005D5213" w:rsidRDefault="000918AF" w:rsidP="007E7434">
            <w:pPr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37DC">
              <w:t>93%</w:t>
            </w:r>
          </w:p>
        </w:tc>
      </w:tr>
      <w:tr w:rsidR="00CA4662" w14:paraId="35BAD87D" w14:textId="77777777" w:rsidTr="007E74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pct"/>
          </w:tcPr>
          <w:p w14:paraId="609E60E2" w14:textId="5E31E8F6" w:rsidR="0012176A" w:rsidRPr="001E56BD" w:rsidRDefault="000918AF" w:rsidP="007E7434">
            <w:pPr>
              <w:spacing w:after="0" w:line="280" w:lineRule="exact"/>
              <w:jc w:val="left"/>
            </w:pPr>
            <w:r w:rsidRPr="004E37DC">
              <w:t>Dehumidifier</w:t>
            </w:r>
          </w:p>
        </w:tc>
        <w:tc>
          <w:tcPr>
            <w:tcW w:w="529" w:type="pct"/>
          </w:tcPr>
          <w:p w14:paraId="36F79CD0" w14:textId="3BC3037A" w:rsidR="0012176A" w:rsidRPr="001E56BD" w:rsidRDefault="000918AF" w:rsidP="007E7434">
            <w:pPr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E37DC">
              <w:t>13</w:t>
            </w:r>
          </w:p>
        </w:tc>
        <w:tc>
          <w:tcPr>
            <w:tcW w:w="1057" w:type="pct"/>
          </w:tcPr>
          <w:p w14:paraId="5447A1D1" w14:textId="43693E8E" w:rsidR="0012176A" w:rsidRPr="005D5213" w:rsidRDefault="000918AF" w:rsidP="007E7434">
            <w:pPr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E37DC">
              <w:t>100%</w:t>
            </w:r>
          </w:p>
        </w:tc>
        <w:tc>
          <w:tcPr>
            <w:tcW w:w="1058" w:type="pct"/>
          </w:tcPr>
          <w:p w14:paraId="5B17A8FD" w14:textId="3791A241" w:rsidR="0012176A" w:rsidRPr="005D5213" w:rsidRDefault="000918AF" w:rsidP="007E7434">
            <w:pPr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E37DC">
              <w:t>100%</w:t>
            </w:r>
          </w:p>
        </w:tc>
      </w:tr>
      <w:tr w:rsidR="006450D2" w14:paraId="696E2285" w14:textId="77777777" w:rsidTr="007E74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pct"/>
          </w:tcPr>
          <w:p w14:paraId="2D5FF5B1" w14:textId="0D1E7149" w:rsidR="0012176A" w:rsidRPr="001E56BD" w:rsidRDefault="000918AF" w:rsidP="007E7434">
            <w:pPr>
              <w:spacing w:after="0" w:line="280" w:lineRule="exact"/>
              <w:jc w:val="left"/>
            </w:pPr>
            <w:r w:rsidRPr="004E37DC">
              <w:t>Central air conditioning system</w:t>
            </w:r>
          </w:p>
        </w:tc>
        <w:tc>
          <w:tcPr>
            <w:tcW w:w="529" w:type="pct"/>
          </w:tcPr>
          <w:p w14:paraId="55616197" w14:textId="5224F000" w:rsidR="0012176A" w:rsidRPr="001E56BD" w:rsidRDefault="000918AF" w:rsidP="007E7434">
            <w:pPr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37DC">
              <w:t>7</w:t>
            </w:r>
          </w:p>
        </w:tc>
        <w:tc>
          <w:tcPr>
            <w:tcW w:w="1057" w:type="pct"/>
          </w:tcPr>
          <w:p w14:paraId="13E9B2FA" w14:textId="6E180ABC" w:rsidR="0012176A" w:rsidRPr="005D5213" w:rsidRDefault="000918AF" w:rsidP="007E7434">
            <w:pPr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37DC">
              <w:t>100%</w:t>
            </w:r>
          </w:p>
        </w:tc>
        <w:tc>
          <w:tcPr>
            <w:tcW w:w="1058" w:type="pct"/>
          </w:tcPr>
          <w:p w14:paraId="0783E17D" w14:textId="2B60CD3A" w:rsidR="0012176A" w:rsidRPr="005D5213" w:rsidRDefault="000918AF" w:rsidP="007E7434">
            <w:pPr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37DC">
              <w:t>100%</w:t>
            </w:r>
          </w:p>
        </w:tc>
      </w:tr>
      <w:tr w:rsidR="00CA4662" w14:paraId="13CE1F46" w14:textId="77777777" w:rsidTr="007E74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pct"/>
          </w:tcPr>
          <w:p w14:paraId="4BFA40B2" w14:textId="3BADF885" w:rsidR="0012176A" w:rsidRPr="001E56BD" w:rsidRDefault="000918AF" w:rsidP="007E7434">
            <w:pPr>
              <w:spacing w:after="0" w:line="280" w:lineRule="exact"/>
              <w:jc w:val="left"/>
            </w:pPr>
            <w:r w:rsidRPr="004E37DC">
              <w:t>Freezer</w:t>
            </w:r>
          </w:p>
        </w:tc>
        <w:tc>
          <w:tcPr>
            <w:tcW w:w="529" w:type="pct"/>
          </w:tcPr>
          <w:p w14:paraId="5A90CA9F" w14:textId="1C23E6FA" w:rsidR="0012176A" w:rsidRPr="001E56BD" w:rsidRDefault="000918AF" w:rsidP="007E7434">
            <w:pPr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E37DC">
              <w:t>3</w:t>
            </w:r>
          </w:p>
        </w:tc>
        <w:tc>
          <w:tcPr>
            <w:tcW w:w="1057" w:type="pct"/>
          </w:tcPr>
          <w:p w14:paraId="7FBA2D6B" w14:textId="2860C470" w:rsidR="0012176A" w:rsidRPr="005D5213" w:rsidRDefault="000918AF" w:rsidP="007E7434">
            <w:pPr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E37DC">
              <w:t>100%</w:t>
            </w:r>
          </w:p>
        </w:tc>
        <w:tc>
          <w:tcPr>
            <w:tcW w:w="1058" w:type="pct"/>
          </w:tcPr>
          <w:p w14:paraId="246D6526" w14:textId="235CB855" w:rsidR="0012176A" w:rsidRPr="005D5213" w:rsidRDefault="000918AF" w:rsidP="007E7434">
            <w:pPr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E37DC">
              <w:t>100%</w:t>
            </w:r>
          </w:p>
        </w:tc>
      </w:tr>
      <w:tr w:rsidR="006450D2" w14:paraId="34DD2367" w14:textId="77777777" w:rsidTr="007E74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pct"/>
          </w:tcPr>
          <w:p w14:paraId="42C9465C" w14:textId="37185ED6" w:rsidR="0012176A" w:rsidRPr="001E56BD" w:rsidRDefault="000918AF" w:rsidP="007E7434">
            <w:pPr>
              <w:spacing w:after="0" w:line="280" w:lineRule="exact"/>
              <w:jc w:val="left"/>
            </w:pPr>
            <w:r w:rsidRPr="004E37DC">
              <w:t>Geothermal or ground-source heat pump</w:t>
            </w:r>
          </w:p>
        </w:tc>
        <w:tc>
          <w:tcPr>
            <w:tcW w:w="529" w:type="pct"/>
          </w:tcPr>
          <w:p w14:paraId="3E9D08F2" w14:textId="3CFAF5EF" w:rsidR="0012176A" w:rsidRPr="001E56BD" w:rsidRDefault="000918AF" w:rsidP="007E7434">
            <w:pPr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37DC">
              <w:t>2</w:t>
            </w:r>
          </w:p>
        </w:tc>
        <w:tc>
          <w:tcPr>
            <w:tcW w:w="1057" w:type="pct"/>
          </w:tcPr>
          <w:p w14:paraId="296CF75E" w14:textId="02B9A287" w:rsidR="0012176A" w:rsidRPr="005D5213" w:rsidRDefault="000918AF" w:rsidP="007E7434">
            <w:pPr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37DC">
              <w:t>100%</w:t>
            </w:r>
          </w:p>
        </w:tc>
        <w:tc>
          <w:tcPr>
            <w:tcW w:w="1058" w:type="pct"/>
          </w:tcPr>
          <w:p w14:paraId="545AA79D" w14:textId="269CBA36" w:rsidR="0012176A" w:rsidRPr="005D5213" w:rsidRDefault="000918AF" w:rsidP="007E7434">
            <w:pPr>
              <w:spacing w:after="0"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37DC">
              <w:t>100%</w:t>
            </w:r>
          </w:p>
        </w:tc>
      </w:tr>
      <w:tr w:rsidR="00CA4662" w14:paraId="016F5DD2" w14:textId="77777777" w:rsidTr="007E74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pct"/>
          </w:tcPr>
          <w:p w14:paraId="05C5FFBE" w14:textId="65A060B1" w:rsidR="0012176A" w:rsidRPr="001E56BD" w:rsidRDefault="000918AF" w:rsidP="007E7434">
            <w:pPr>
              <w:spacing w:after="0" w:line="280" w:lineRule="exact"/>
              <w:jc w:val="left"/>
            </w:pPr>
            <w:r w:rsidRPr="004E37DC">
              <w:t>Air-source heat pump</w:t>
            </w:r>
          </w:p>
        </w:tc>
        <w:tc>
          <w:tcPr>
            <w:tcW w:w="529" w:type="pct"/>
          </w:tcPr>
          <w:p w14:paraId="17F0C7DC" w14:textId="54AA442F" w:rsidR="0012176A" w:rsidRPr="001E56BD" w:rsidRDefault="000918AF" w:rsidP="007E7434">
            <w:pPr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E37DC">
              <w:t>1</w:t>
            </w:r>
          </w:p>
        </w:tc>
        <w:tc>
          <w:tcPr>
            <w:tcW w:w="1057" w:type="pct"/>
          </w:tcPr>
          <w:p w14:paraId="0B30005E" w14:textId="2306AFC5" w:rsidR="0012176A" w:rsidRPr="005D5213" w:rsidRDefault="000918AF" w:rsidP="007E7434">
            <w:pPr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E37DC">
              <w:t>100%</w:t>
            </w:r>
          </w:p>
        </w:tc>
        <w:tc>
          <w:tcPr>
            <w:tcW w:w="1058" w:type="pct"/>
          </w:tcPr>
          <w:p w14:paraId="4B8AC787" w14:textId="5291D33C" w:rsidR="0012176A" w:rsidRPr="005D5213" w:rsidRDefault="000918AF" w:rsidP="007E7434">
            <w:pPr>
              <w:spacing w:after="0"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E37DC">
              <w:t>100%</w:t>
            </w:r>
          </w:p>
        </w:tc>
      </w:tr>
      <w:tr w:rsidR="00C84B60" w14:paraId="461D04DC" w14:textId="77777777" w:rsidTr="00C84B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298DF5D7" w14:textId="5D6BCD24" w:rsidR="00C84B60" w:rsidRPr="007E7434" w:rsidRDefault="00C84B60" w:rsidP="007E7434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7E7434">
              <w:rPr>
                <w:sz w:val="18"/>
                <w:szCs w:val="18"/>
              </w:rPr>
              <w:t xml:space="preserve">1 One respondent reported </w:t>
            </w:r>
            <w:r w:rsidR="00D33434">
              <w:rPr>
                <w:sz w:val="18"/>
                <w:szCs w:val="18"/>
              </w:rPr>
              <w:t xml:space="preserve">that the windows associated with their address </w:t>
            </w:r>
            <w:r w:rsidRPr="007E7434">
              <w:rPr>
                <w:sz w:val="18"/>
                <w:szCs w:val="18"/>
              </w:rPr>
              <w:t>in the</w:t>
            </w:r>
            <w:r w:rsidR="00D33434">
              <w:rPr>
                <w:sz w:val="18"/>
                <w:szCs w:val="18"/>
              </w:rPr>
              <w:t xml:space="preserve"> program</w:t>
            </w:r>
            <w:r w:rsidRPr="007E743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tracking data were </w:t>
            </w:r>
            <w:r w:rsidR="00D33434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>never installed</w:t>
            </w:r>
            <w:r w:rsidR="00FE4554">
              <w:rPr>
                <w:sz w:val="18"/>
                <w:szCs w:val="18"/>
              </w:rPr>
              <w:t>;</w:t>
            </w:r>
            <w:r w:rsidR="00D33434">
              <w:rPr>
                <w:sz w:val="18"/>
                <w:szCs w:val="18"/>
              </w:rPr>
              <w:t>”</w:t>
            </w:r>
            <w:r w:rsidR="00FE4554">
              <w:rPr>
                <w:sz w:val="18"/>
                <w:szCs w:val="18"/>
              </w:rPr>
              <w:t xml:space="preserve"> this was a high-savings project and as such the weighted </w:t>
            </w:r>
            <w:r w:rsidR="00DF5B23">
              <w:rPr>
                <w:sz w:val="18"/>
                <w:szCs w:val="18"/>
              </w:rPr>
              <w:t>installation rate for windows</w:t>
            </w:r>
            <w:r w:rsidR="00CA4662">
              <w:rPr>
                <w:sz w:val="18"/>
                <w:szCs w:val="18"/>
              </w:rPr>
              <w:t xml:space="preserve"> is reduced accordingly. </w:t>
            </w:r>
            <w:r w:rsidR="00941DB4">
              <w:rPr>
                <w:sz w:val="18"/>
                <w:szCs w:val="18"/>
              </w:rPr>
              <w:t xml:space="preserve">The NMR team recommends averaging this installation rate with </w:t>
            </w:r>
            <w:r w:rsidR="00530441">
              <w:rPr>
                <w:sz w:val="18"/>
                <w:szCs w:val="18"/>
              </w:rPr>
              <w:t>the installation rate in the 2022 PSD for a</w:t>
            </w:r>
            <w:r w:rsidR="00456799">
              <w:rPr>
                <w:sz w:val="18"/>
                <w:szCs w:val="18"/>
              </w:rPr>
              <w:t>n</w:t>
            </w:r>
            <w:r w:rsidR="00530441">
              <w:rPr>
                <w:sz w:val="18"/>
                <w:szCs w:val="18"/>
              </w:rPr>
              <w:t xml:space="preserve"> installation rate of 98%. </w:t>
            </w:r>
          </w:p>
        </w:tc>
      </w:tr>
    </w:tbl>
    <w:p w14:paraId="41FB333A" w14:textId="77777777" w:rsidR="002237CF" w:rsidRPr="007D6DB6" w:rsidRDefault="002237CF" w:rsidP="00C11383"/>
    <w:sectPr w:rsidR="002237CF" w:rsidRPr="007D6DB6" w:rsidSect="001E6451">
      <w:headerReference w:type="default" r:id="rId15"/>
      <w:footerReference w:type="default" r:id="rId16"/>
      <w:headerReference w:type="first" r:id="rId17"/>
      <w:pgSz w:w="12240" w:h="15840"/>
      <w:pgMar w:top="1440" w:right="1440" w:bottom="1440" w:left="1440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CB77C" w14:textId="77777777" w:rsidR="00EE337D" w:rsidRDefault="00EE337D" w:rsidP="000D6470">
      <w:r>
        <w:separator/>
      </w:r>
    </w:p>
    <w:p w14:paraId="09F7D2D0" w14:textId="77777777" w:rsidR="00EE337D" w:rsidRDefault="00EE337D"/>
    <w:p w14:paraId="035F22F9" w14:textId="77777777" w:rsidR="00EE337D" w:rsidRDefault="00EE337D"/>
    <w:p w14:paraId="73CD60C7" w14:textId="77777777" w:rsidR="00EE337D" w:rsidRDefault="00EE337D" w:rsidP="00B54A2D"/>
    <w:p w14:paraId="2906A695" w14:textId="77777777" w:rsidR="00EE337D" w:rsidRDefault="00EE337D" w:rsidP="00B54A2D"/>
    <w:p w14:paraId="7F31785E" w14:textId="77777777" w:rsidR="00EE337D" w:rsidRDefault="00EE337D" w:rsidP="006431E2"/>
    <w:p w14:paraId="27E3B0FA" w14:textId="77777777" w:rsidR="00EE337D" w:rsidRDefault="00EE337D" w:rsidP="00CE7FC8"/>
  </w:endnote>
  <w:endnote w:type="continuationSeparator" w:id="0">
    <w:p w14:paraId="2A1D1D74" w14:textId="77777777" w:rsidR="00EE337D" w:rsidRDefault="00EE337D" w:rsidP="000D6470">
      <w:r>
        <w:continuationSeparator/>
      </w:r>
    </w:p>
    <w:p w14:paraId="39FFBE3D" w14:textId="77777777" w:rsidR="00EE337D" w:rsidRDefault="00EE337D"/>
    <w:p w14:paraId="2331EE7F" w14:textId="77777777" w:rsidR="00EE337D" w:rsidRDefault="00EE337D"/>
    <w:p w14:paraId="4D974ACA" w14:textId="77777777" w:rsidR="00EE337D" w:rsidRDefault="00EE337D" w:rsidP="00B54A2D"/>
    <w:p w14:paraId="401CFA41" w14:textId="77777777" w:rsidR="00EE337D" w:rsidRDefault="00EE337D" w:rsidP="00B54A2D"/>
    <w:p w14:paraId="32B96568" w14:textId="77777777" w:rsidR="00EE337D" w:rsidRDefault="00EE337D" w:rsidP="006431E2"/>
    <w:p w14:paraId="0D741FCD" w14:textId="77777777" w:rsidR="00EE337D" w:rsidRDefault="00EE337D" w:rsidP="00CE7FC8"/>
  </w:endnote>
  <w:endnote w:type="continuationNotice" w:id="1">
    <w:p w14:paraId="56B1FFEA" w14:textId="77777777" w:rsidR="00EE337D" w:rsidRDefault="00EE33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DBB40" w14:textId="77777777" w:rsidR="005A5F8B" w:rsidRDefault="005A5F8B" w:rsidP="003157F2">
    <w:pPr>
      <w:pStyle w:val="Footer"/>
      <w:ind w:right="5040" w:hanging="540"/>
      <w:jc w:val="right"/>
      <w:rPr>
        <w:noProof/>
      </w:rPr>
    </w:pPr>
  </w:p>
  <w:p w14:paraId="69F590CA" w14:textId="77777777" w:rsidR="00772DA5" w:rsidRDefault="00772DA5" w:rsidP="005A5F8B">
    <w:pPr>
      <w:pStyle w:val="Footer"/>
      <w:ind w:right="50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A1285" w14:textId="77777777" w:rsidR="00EE337D" w:rsidRDefault="00EE337D" w:rsidP="000D6470">
      <w:r>
        <w:separator/>
      </w:r>
    </w:p>
  </w:footnote>
  <w:footnote w:type="continuationSeparator" w:id="0">
    <w:p w14:paraId="5B8E2B76" w14:textId="77777777" w:rsidR="00EE337D" w:rsidRDefault="00EE337D" w:rsidP="000D6470">
      <w:r>
        <w:continuationSeparator/>
      </w:r>
    </w:p>
  </w:footnote>
  <w:footnote w:type="continuationNotice" w:id="1">
    <w:p w14:paraId="6C6EE9AC" w14:textId="77777777" w:rsidR="00EE337D" w:rsidRDefault="00EE337D">
      <w:pPr>
        <w:spacing w:after="0" w:line="240" w:lineRule="auto"/>
      </w:pPr>
    </w:p>
  </w:footnote>
  <w:footnote w:id="2">
    <w:p w14:paraId="42E63D65" w14:textId="581D1E5E" w:rsidR="00A75993" w:rsidRDefault="00A75993">
      <w:pPr>
        <w:pStyle w:val="FootnoteText"/>
      </w:pPr>
      <w:r>
        <w:rPr>
          <w:rStyle w:val="FootnoteReference"/>
        </w:rPr>
        <w:footnoteRef/>
      </w:r>
      <w:r>
        <w:t xml:space="preserve"> Connecticut</w:t>
      </w:r>
      <w:r w:rsidR="00CC0AB3">
        <w:t>’s</w:t>
      </w:r>
      <w:r>
        <w:t xml:space="preserve"> 2021 </w:t>
      </w:r>
      <w:r w:rsidR="00CC0AB3">
        <w:t>Program Savings Document</w:t>
      </w:r>
      <w:r>
        <w:t xml:space="preserve">. </w:t>
      </w:r>
      <w:r w:rsidRPr="00CC0AB3">
        <w:rPr>
          <w:i/>
          <w:iCs/>
        </w:rPr>
        <w:t>Section 1.7 Glossary</w:t>
      </w:r>
      <w:r>
        <w:t xml:space="preserve">. </w:t>
      </w:r>
      <w:hyperlink r:id="rId1" w:history="1">
        <w:r w:rsidRPr="00CB2BA2">
          <w:rPr>
            <w:rStyle w:val="Hyperlink"/>
          </w:rPr>
          <w:t>https://www.energizect.com/sites/default/files/2021-03/Final%202021%20PSD%20%28Filed%203-01-2021%29.pdf</w:t>
        </w:r>
      </w:hyperlink>
      <w:r>
        <w:t xml:space="preserve">. Accessed June 14, 2022. </w:t>
      </w:r>
    </w:p>
  </w:footnote>
  <w:footnote w:id="3">
    <w:p w14:paraId="402F5E2E" w14:textId="44907D03" w:rsidR="00126096" w:rsidRDefault="00126096" w:rsidP="0012609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D6586">
        <w:t xml:space="preserve">NMR Group, Inc. and Tetra Tech, Inc. May 28, 2020. </w:t>
      </w:r>
      <w:r w:rsidR="008B712F">
        <w:t xml:space="preserve">“Consistent Methodology for Self-Reported Residential Net-to-Gross Measurement (MA19X03-B-RSRNTG). </w:t>
      </w:r>
      <w:hyperlink r:id="rId2" w:history="1">
        <w:r w:rsidR="008B712F" w:rsidRPr="008B712F">
          <w:rPr>
            <w:rStyle w:val="Hyperlink"/>
          </w:rPr>
          <w:t>https://ma-eeac.org/wp-content/uploads/MA19X03-B-RSRNTG_Residential-SR-NTG-Report_FINAL_2020.5.28.pdf</w:t>
        </w:r>
      </w:hyperlink>
      <w:r>
        <w:t xml:space="preserve">. </w:t>
      </w:r>
    </w:p>
  </w:footnote>
  <w:footnote w:id="4">
    <w:p w14:paraId="58D76E11" w14:textId="015E8B86" w:rsidR="008D5C9A" w:rsidRDefault="008D5C9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51187">
        <w:t xml:space="preserve">The methodology for </w:t>
      </w:r>
      <w:r w:rsidR="00F57289">
        <w:t xml:space="preserve">converting the linearly scored elements of the Massachusetts Residential Self-Report NTG Method </w:t>
      </w:r>
      <w:r w:rsidR="008F4570">
        <w:t xml:space="preserve">to a Labeled Affective Magnitude scale was outlined in a memo to the EA team on April 28, 2021 and was based off </w:t>
      </w:r>
      <w:r w:rsidR="00B752E6">
        <w:t xml:space="preserve">the D’Souza and Skumatz (SERA) draft paper for ECEEE. </w:t>
      </w:r>
    </w:p>
  </w:footnote>
  <w:footnote w:id="5">
    <w:p w14:paraId="73163C30" w14:textId="2A3ACFB9" w:rsidR="00EA2DB2" w:rsidRDefault="00EA2DB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85738">
        <w:t>The</w:t>
      </w:r>
      <w:r>
        <w:t xml:space="preserve"> </w:t>
      </w:r>
      <w:r w:rsidR="00050075">
        <w:t>seven removed</w:t>
      </w:r>
      <w:r>
        <w:t xml:space="preserve"> respondents </w:t>
      </w:r>
      <w:r w:rsidR="00050075">
        <w:t>either displayed</w:t>
      </w:r>
      <w:r>
        <w:t xml:space="preserve"> inconsistency across survey verification questions </w:t>
      </w:r>
      <w:r w:rsidR="00050075">
        <w:t>or did not pass</w:t>
      </w:r>
      <w:r>
        <w:t xml:space="preserve"> quality control checks after the survey’s completion.</w:t>
      </w:r>
    </w:p>
  </w:footnote>
  <w:footnote w:id="6">
    <w:p w14:paraId="630A97FD" w14:textId="1AF26300" w:rsidR="00F76D92" w:rsidRDefault="00F76D92">
      <w:pPr>
        <w:pStyle w:val="FootnoteText"/>
      </w:pPr>
      <w:r>
        <w:rPr>
          <w:rStyle w:val="FootnoteReference"/>
        </w:rPr>
        <w:footnoteRef/>
      </w:r>
      <w:r>
        <w:t xml:space="preserve"> The sampling defaulted to asking respondents about add-on measures wherever possible to maximize response rates for </w:t>
      </w:r>
      <w:r w:rsidR="006F52B4">
        <w:t xml:space="preserve">high savings, </w:t>
      </w:r>
      <w:r>
        <w:t xml:space="preserve">low-incidence measures. </w:t>
      </w:r>
      <w:r w:rsidR="006E01C0">
        <w:t xml:space="preserve">A respondent only received free-ridership questions about measures in the tracking database that </w:t>
      </w:r>
      <w:r w:rsidR="00684BF4">
        <w:t>respondents verified receiving and that were installed. The savings come from the program database; electric, gas, oil, and propane savings have been converted into MMB</w:t>
      </w:r>
      <w:r w:rsidR="00C15A1F">
        <w:t>t</w:t>
      </w:r>
      <w:r w:rsidR="00684BF4">
        <w:t xml:space="preserve">u/year. </w:t>
      </w:r>
    </w:p>
  </w:footnote>
  <w:footnote w:id="7">
    <w:p w14:paraId="4A3B9B06" w14:textId="3F52012B" w:rsidR="00F70555" w:rsidRDefault="00F7055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4163A">
        <w:t xml:space="preserve">Respondents were only asked to rate the </w:t>
      </w:r>
      <w:r w:rsidR="00657EA6">
        <w:t xml:space="preserve">influence of program rebates or financing if they </w:t>
      </w:r>
      <w:r w:rsidR="00D544B0">
        <w:t xml:space="preserve">previously indicated they were aware of </w:t>
      </w:r>
      <w:r w:rsidR="00E13B02">
        <w:t>or applied for t</w:t>
      </w:r>
      <w:r w:rsidR="00BE14C7">
        <w:t>hem</w:t>
      </w:r>
      <w:r w:rsidR="00995653">
        <w:t xml:space="preserve">. Likewise, only </w:t>
      </w:r>
      <w:r w:rsidR="00867E9A">
        <w:t xml:space="preserve">respondents answering the free-ridership battery about an add-on measure were asked about </w:t>
      </w:r>
      <w:r w:rsidR="00716AC1">
        <w:t xml:space="preserve">the influence of their contractor. </w:t>
      </w:r>
    </w:p>
  </w:footnote>
  <w:footnote w:id="8">
    <w:p w14:paraId="452096D2" w14:textId="07810C70" w:rsidR="009315C6" w:rsidRDefault="009315C6">
      <w:pPr>
        <w:pStyle w:val="FootnoteText"/>
      </w:pPr>
      <w:r>
        <w:rPr>
          <w:rStyle w:val="FootnoteReference"/>
        </w:rPr>
        <w:footnoteRef/>
      </w:r>
      <w:r>
        <w:t xml:space="preserve"> The R1983 workplan specified that we intended to</w:t>
      </w:r>
      <w:r w:rsidR="00091CDF">
        <w:t xml:space="preserve"> interpret the results of the billing analysis as</w:t>
      </w:r>
      <w:r>
        <w:t xml:space="preserve"> net savings values</w:t>
      </w:r>
      <w:r w:rsidR="00091CDF">
        <w:t xml:space="preserve"> for certain measures, including lighting. However, we recommend using the free-ridership value estimated by the participant survey</w:t>
      </w:r>
      <w:r w:rsidR="00957680">
        <w:t xml:space="preserve"> as net savings values are not yet defined for R1983. The NMR team notes that NTG and installation rate are not relevant for the billing analysis for lighting. </w:t>
      </w:r>
    </w:p>
  </w:footnote>
  <w:footnote w:id="9">
    <w:p w14:paraId="676CF06C" w14:textId="1A345859" w:rsidR="00492849" w:rsidRDefault="0049284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57CFB">
        <w:t>Connecticut’s 202</w:t>
      </w:r>
      <w:r w:rsidR="00510A9A">
        <w:t>2</w:t>
      </w:r>
      <w:r w:rsidR="00C57CFB">
        <w:t xml:space="preserve"> Program Savings Document. Filed on March 1, 202</w:t>
      </w:r>
      <w:r w:rsidR="00B600B5">
        <w:t>2</w:t>
      </w:r>
      <w:r w:rsidR="00C57CFB">
        <w:t xml:space="preserve">. </w:t>
      </w:r>
      <w:hyperlink r:id="rId3" w:history="1">
        <w:r w:rsidR="00B600B5" w:rsidRPr="00B600B5">
          <w:t xml:space="preserve"> </w:t>
        </w:r>
        <w:hyperlink r:id="rId4" w:history="1">
          <w:r w:rsidR="00B600B5">
            <w:rPr>
              <w:rStyle w:val="Hyperlink"/>
            </w:rPr>
            <w:t>Connecticut’s 2022 Program Savings Document (energizect.com)</w:t>
          </w:r>
        </w:hyperlink>
      </w:hyperlink>
      <w:r w:rsidR="00C57CFB">
        <w:t xml:space="preserve">. Accessed June 14, 2022. </w:t>
      </w:r>
    </w:p>
  </w:footnote>
  <w:footnote w:id="10">
    <w:p w14:paraId="270C2D7F" w14:textId="77777777" w:rsidR="0031602F" w:rsidRDefault="0031602F" w:rsidP="0031602F">
      <w:pPr>
        <w:pStyle w:val="FootnoteText"/>
      </w:pPr>
      <w:r>
        <w:rPr>
          <w:rStyle w:val="FootnoteReference"/>
        </w:rPr>
        <w:footnoteRef/>
      </w:r>
      <w:r>
        <w:t xml:space="preserve"> “2021 Plan Update to the 2019-2021 Conservation &amp; Load Management Plan.” Filed March 1, 2021. </w:t>
      </w:r>
      <w:hyperlink r:id="rId5" w:history="1">
        <w:r w:rsidRPr="00CB2BA2">
          <w:rPr>
            <w:rStyle w:val="Hyperlink"/>
          </w:rPr>
          <w:t>https://www.energizect.com/sites/default/files/2021-04/Final%202021%20Plan%20Update%20%28Refiled%203-15-21%29.pdf</w:t>
        </w:r>
      </w:hyperlink>
      <w:r>
        <w:t xml:space="preserve">. Accessed June 14, 2021. </w:t>
      </w:r>
    </w:p>
  </w:footnote>
  <w:footnote w:id="11">
    <w:p w14:paraId="16EA8EA6" w14:textId="7795F8C8" w:rsidR="00670B47" w:rsidRDefault="00670B4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Guidehouse</w:t>
      </w:r>
      <w:proofErr w:type="spellEnd"/>
      <w:r>
        <w:t xml:space="preserve"> Inc. October 8, 2021. “Massachusetts Residential Programs Net-to-Gross Research of RCD and Select Products Measures.” </w:t>
      </w:r>
      <w:hyperlink r:id="rId6" w:history="1">
        <w:r w:rsidR="001003AE">
          <w:rPr>
            <w:rStyle w:val="Hyperlink"/>
          </w:rPr>
          <w:t>MA20R28-B-NTGRCDP Report (ma-eeac.org)</w:t>
        </w:r>
      </w:hyperlink>
      <w:r w:rsidR="001003AE">
        <w:t xml:space="preserve">. Accessed June 30, 2022. </w:t>
      </w:r>
    </w:p>
  </w:footnote>
  <w:footnote w:id="12">
    <w:p w14:paraId="6B2C776D" w14:textId="25392030" w:rsidR="00FC7DC2" w:rsidRDefault="00FC7DC2">
      <w:pPr>
        <w:pStyle w:val="FootnoteText"/>
      </w:pPr>
      <w:r>
        <w:rPr>
          <w:rStyle w:val="FootnoteReference"/>
        </w:rPr>
        <w:footnoteRef/>
      </w:r>
      <w:r>
        <w:t xml:space="preserve"> The vendor did not provide clarification on this term, but the NMR team interpreted it to mean a </w:t>
      </w:r>
      <w:r w:rsidR="006162DA">
        <w:t xml:space="preserve">less intensive </w:t>
      </w:r>
      <w:r w:rsidR="007E102A">
        <w:t xml:space="preserve">energy assessment that would fulfill the requirements for installing solar, as the customer had previously received an assessment through the HES program. </w:t>
      </w:r>
    </w:p>
  </w:footnote>
  <w:footnote w:id="13">
    <w:p w14:paraId="4360582D" w14:textId="4CD2CDEE" w:rsidR="006427A1" w:rsidRDefault="006427A1">
      <w:pPr>
        <w:pStyle w:val="FootnoteText"/>
      </w:pPr>
      <w:r>
        <w:rPr>
          <w:rStyle w:val="FootnoteReference"/>
        </w:rPr>
        <w:footnoteRef/>
      </w:r>
      <w:r>
        <w:t xml:space="preserve"> The NMR team did not ask whether </w:t>
      </w:r>
      <w:r w:rsidR="008A0DF4">
        <w:t xml:space="preserve">blower-door guided </w:t>
      </w:r>
      <w:r>
        <w:t>air</w:t>
      </w:r>
      <w:r w:rsidR="008A0DF4">
        <w:t xml:space="preserve"> sealing</w:t>
      </w:r>
      <w:r>
        <w:t xml:space="preserve"> and</w:t>
      </w:r>
      <w:r w:rsidR="008A0DF4">
        <w:t>/or</w:t>
      </w:r>
      <w:r>
        <w:t xml:space="preserve"> duct sealing measures were still installed</w:t>
      </w:r>
      <w:r w:rsidR="008A0DF4">
        <w:t xml:space="preserve"> in the household,</w:t>
      </w:r>
      <w:r>
        <w:t xml:space="preserve"> as </w:t>
      </w:r>
      <w:r w:rsidR="004E4A1A">
        <w:t>these measures would be nearly impossible to uninstall</w:t>
      </w:r>
      <w:r w:rsidR="005A5F28">
        <w:t xml:space="preserve"> and may have created unnecessary confusion for the survey respondent.</w:t>
      </w:r>
      <w:r w:rsidR="004E4A1A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3402D" w14:textId="77777777" w:rsidR="00772DA5" w:rsidRPr="00CE7FC8" w:rsidRDefault="00772DA5" w:rsidP="004D4C63">
    <w:pPr>
      <w:pStyle w:val="Header"/>
      <w:tabs>
        <w:tab w:val="clear" w:pos="9360"/>
        <w:tab w:val="right" w:pos="10260"/>
      </w:tabs>
      <w:ind w:right="-9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B6BC" w14:textId="605ED9AB" w:rsidR="00772DA5" w:rsidRDefault="007D7FBC" w:rsidP="007D7FBC">
    <w:pPr>
      <w:pStyle w:val="Header"/>
      <w:jc w:val="center"/>
    </w:pPr>
    <w:r>
      <w:rPr>
        <w:noProof/>
      </w:rPr>
      <w:drawing>
        <wp:inline distT="0" distB="0" distL="0" distR="0" wp14:anchorId="31D1630B" wp14:editId="48D16261">
          <wp:extent cx="3712685" cy="1192740"/>
          <wp:effectExtent l="0" t="0" r="254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29203" cy="1230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0A8C"/>
    <w:multiLevelType w:val="hybridMultilevel"/>
    <w:tmpl w:val="B99E7776"/>
    <w:lvl w:ilvl="0" w:tplc="7B200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52A2E"/>
    <w:multiLevelType w:val="hybridMultilevel"/>
    <w:tmpl w:val="B216A92A"/>
    <w:lvl w:ilvl="0" w:tplc="7B200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A05A0"/>
    <w:multiLevelType w:val="hybridMultilevel"/>
    <w:tmpl w:val="0EBA4B80"/>
    <w:lvl w:ilvl="0" w:tplc="C9D68A0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4C64207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75E35"/>
    <w:multiLevelType w:val="hybridMultilevel"/>
    <w:tmpl w:val="E25EBFFC"/>
    <w:lvl w:ilvl="0" w:tplc="CD8E68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A56B6"/>
    <w:multiLevelType w:val="hybridMultilevel"/>
    <w:tmpl w:val="004A986A"/>
    <w:lvl w:ilvl="0" w:tplc="7B200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78E1A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1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18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349C2"/>
    <w:multiLevelType w:val="multilevel"/>
    <w:tmpl w:val="94004DA4"/>
    <w:lvl w:ilvl="0">
      <w:start w:val="1"/>
      <w:numFmt w:val="decimal"/>
      <w:pStyle w:val="Heading1"/>
      <w:lvlText w:val="Section %1"/>
      <w:lvlJc w:val="left"/>
      <w:pPr>
        <w:tabs>
          <w:tab w:val="num" w:pos="576"/>
        </w:tabs>
        <w:ind w:left="72" w:hanging="72"/>
      </w:pPr>
      <w:rPr>
        <w:rFonts w:ascii="Arial Bold" w:hAnsi="Arial Bold"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576" w:hanging="576"/>
      </w:pPr>
      <w:rPr>
        <w:rFonts w:ascii="Arial Bold" w:hAnsi="Arial Bold" w:hint="default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64"/>
        </w:tabs>
        <w:ind w:left="720" w:hanging="720"/>
      </w:pPr>
      <w:rPr>
        <w:rFonts w:ascii="Arial Bold" w:hAnsi="Arial Bold" w:hint="default"/>
        <w:b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08"/>
        </w:tabs>
        <w:ind w:left="864" w:hanging="864"/>
      </w:pPr>
      <w:rPr>
        <w:rFonts w:ascii="Arial Bold" w:hAnsi="Arial Bold" w:hint="default"/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52"/>
        </w:tabs>
        <w:ind w:left="1008" w:hanging="1008"/>
      </w:pPr>
      <w:rPr>
        <w:rFonts w:ascii="Arial Bold" w:hAnsi="Arial Bold" w:hint="default"/>
        <w:b/>
        <w:i w:val="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296"/>
        </w:tabs>
        <w:ind w:left="1152" w:hanging="1152"/>
      </w:pPr>
      <w:rPr>
        <w:rFonts w:ascii="Arial Bold" w:hAnsi="Arial Bold" w:hint="default"/>
        <w:b/>
        <w:i w:val="0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440"/>
        </w:tabs>
        <w:ind w:left="1296" w:hanging="1296"/>
      </w:pPr>
      <w:rPr>
        <w:rFonts w:ascii="Arial Bold" w:hAnsi="Arial Bold" w:hint="default"/>
        <w:b/>
        <w:i w:val="0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584"/>
        </w:tabs>
        <w:ind w:left="1440" w:hanging="1440"/>
      </w:pPr>
      <w:rPr>
        <w:rFonts w:ascii="Arial Bold" w:hAnsi="Arial Bold" w:hint="default"/>
        <w:b/>
        <w:i w:val="0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728"/>
        </w:tabs>
        <w:ind w:left="1584" w:hanging="1584"/>
      </w:pPr>
      <w:rPr>
        <w:rFonts w:ascii="Arial Bold" w:hAnsi="Arial Bold" w:hint="default"/>
        <w:b/>
        <w:i w:val="0"/>
      </w:rPr>
    </w:lvl>
  </w:abstractNum>
  <w:abstractNum w:abstractNumId="6" w15:restartNumberingAfterBreak="0">
    <w:nsid w:val="1A73630A"/>
    <w:multiLevelType w:val="hybridMultilevel"/>
    <w:tmpl w:val="AB02E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90AD1"/>
    <w:multiLevelType w:val="hybridMultilevel"/>
    <w:tmpl w:val="9D6CBFF6"/>
    <w:lvl w:ilvl="0" w:tplc="D7EE4614">
      <w:start w:val="1"/>
      <w:numFmt w:val="decimal"/>
      <w:lvlText w:val="%1."/>
      <w:lvlJc w:val="left"/>
      <w:pPr>
        <w:ind w:left="1080" w:hanging="360"/>
      </w:pPr>
      <w:rPr>
        <w:b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A30EDE"/>
    <w:multiLevelType w:val="hybridMultilevel"/>
    <w:tmpl w:val="1D4C4F78"/>
    <w:lvl w:ilvl="0" w:tplc="7B200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1495E"/>
    <w:multiLevelType w:val="hybridMultilevel"/>
    <w:tmpl w:val="E4AE9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D4997"/>
    <w:multiLevelType w:val="hybridMultilevel"/>
    <w:tmpl w:val="BFE09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F22B8"/>
    <w:multiLevelType w:val="hybridMultilevel"/>
    <w:tmpl w:val="47200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077EA"/>
    <w:multiLevelType w:val="hybridMultilevel"/>
    <w:tmpl w:val="4A1A4FDA"/>
    <w:lvl w:ilvl="0" w:tplc="B80AE9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1EB9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10E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F04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A0AE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E27B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BACA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EAF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802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FA055F3"/>
    <w:multiLevelType w:val="hybridMultilevel"/>
    <w:tmpl w:val="CF70783A"/>
    <w:lvl w:ilvl="0" w:tplc="C43EFABE">
      <w:start w:val="1"/>
      <w:numFmt w:val="bullet"/>
      <w:pStyle w:val="KeyFindings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604A2"/>
    <w:multiLevelType w:val="hybridMultilevel"/>
    <w:tmpl w:val="9606F97E"/>
    <w:lvl w:ilvl="0" w:tplc="7B586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60257"/>
    <w:multiLevelType w:val="hybridMultilevel"/>
    <w:tmpl w:val="F970F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320DE"/>
    <w:multiLevelType w:val="multilevel"/>
    <w:tmpl w:val="04090025"/>
    <w:styleLink w:val="Style1"/>
    <w:lvl w:ilvl="0">
      <w:start w:val="1"/>
      <w:numFmt w:val="upperLetter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6C278BB"/>
    <w:multiLevelType w:val="hybridMultilevel"/>
    <w:tmpl w:val="90A6B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F63CA"/>
    <w:multiLevelType w:val="hybridMultilevel"/>
    <w:tmpl w:val="14BA93A2"/>
    <w:lvl w:ilvl="0" w:tplc="3320B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7C62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CC6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FA7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A66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585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726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8CE3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AEC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67D6B7F"/>
    <w:multiLevelType w:val="multilevel"/>
    <w:tmpl w:val="8D3A82FC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84F4F3E"/>
    <w:multiLevelType w:val="hybridMultilevel"/>
    <w:tmpl w:val="C68A5802"/>
    <w:lvl w:ilvl="0" w:tplc="7B586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78E1A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1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90B9A"/>
    <w:multiLevelType w:val="hybridMultilevel"/>
    <w:tmpl w:val="77544F20"/>
    <w:lvl w:ilvl="0" w:tplc="65D4DAEE">
      <w:numFmt w:val="bullet"/>
      <w:lvlText w:val=""/>
      <w:lvlJc w:val="left"/>
      <w:pPr>
        <w:ind w:left="1080" w:hanging="72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F0077"/>
    <w:multiLevelType w:val="hybridMultilevel"/>
    <w:tmpl w:val="54165106"/>
    <w:lvl w:ilvl="0" w:tplc="BC3E3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DC166D"/>
    <w:multiLevelType w:val="hybridMultilevel"/>
    <w:tmpl w:val="4D424762"/>
    <w:lvl w:ilvl="0" w:tplc="7B586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78E1A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8D6B92"/>
    <w:multiLevelType w:val="hybridMultilevel"/>
    <w:tmpl w:val="FBB03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E212D"/>
    <w:multiLevelType w:val="hybridMultilevel"/>
    <w:tmpl w:val="ECE4A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807F33"/>
    <w:multiLevelType w:val="hybridMultilevel"/>
    <w:tmpl w:val="307A1C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8278F"/>
    <w:multiLevelType w:val="hybridMultilevel"/>
    <w:tmpl w:val="7F54330A"/>
    <w:lvl w:ilvl="0" w:tplc="078E1A9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18"/>
      </w:rPr>
    </w:lvl>
    <w:lvl w:ilvl="1" w:tplc="87740A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DF5615"/>
    <w:multiLevelType w:val="multilevel"/>
    <w:tmpl w:val="C1A08990"/>
    <w:lvl w:ilvl="0">
      <w:start w:val="1"/>
      <w:numFmt w:val="upperLetter"/>
      <w:pStyle w:val="ApHeading1"/>
      <w:lvlText w:val="Appendix %1"/>
      <w:lvlJc w:val="left"/>
      <w:pPr>
        <w:ind w:left="36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12305C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ApHeading2"/>
      <w:lvlText w:val="%1.%2"/>
      <w:lvlJc w:val="left"/>
      <w:pPr>
        <w:ind w:left="36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12305C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ApHeading3"/>
      <w:lvlText w:val="%1.%2.%3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ApHeading4"/>
      <w:lvlText w:val="%1.%2.%3.%4"/>
      <w:lvlJc w:val="left"/>
      <w:pPr>
        <w:ind w:left="364" w:hanging="274"/>
      </w:pPr>
      <w:rPr>
        <w:rFonts w:ascii="Arial" w:hAnsi="Arial" w:cs="Arial" w:hint="default"/>
        <w:b/>
        <w:i w:val="0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B2F0092"/>
    <w:multiLevelType w:val="hybridMultilevel"/>
    <w:tmpl w:val="1A9E6DEE"/>
    <w:lvl w:ilvl="0" w:tplc="B80AE9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31317B"/>
    <w:multiLevelType w:val="hybridMultilevel"/>
    <w:tmpl w:val="1728D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AE1B27"/>
    <w:multiLevelType w:val="hybridMultilevel"/>
    <w:tmpl w:val="AB7EA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87004">
    <w:abstractNumId w:val="16"/>
  </w:num>
  <w:num w:numId="2" w16cid:durableId="2078815751">
    <w:abstractNumId w:val="28"/>
  </w:num>
  <w:num w:numId="3" w16cid:durableId="957763396">
    <w:abstractNumId w:val="5"/>
  </w:num>
  <w:num w:numId="4" w16cid:durableId="1903639704">
    <w:abstractNumId w:val="4"/>
  </w:num>
  <w:num w:numId="5" w16cid:durableId="243229415">
    <w:abstractNumId w:val="14"/>
  </w:num>
  <w:num w:numId="6" w16cid:durableId="1913351239">
    <w:abstractNumId w:val="7"/>
  </w:num>
  <w:num w:numId="7" w16cid:durableId="429787199">
    <w:abstractNumId w:val="13"/>
  </w:num>
  <w:num w:numId="8" w16cid:durableId="14233719">
    <w:abstractNumId w:val="0"/>
  </w:num>
  <w:num w:numId="9" w16cid:durableId="261962058">
    <w:abstractNumId w:val="2"/>
  </w:num>
  <w:num w:numId="10" w16cid:durableId="190991906">
    <w:abstractNumId w:val="9"/>
  </w:num>
  <w:num w:numId="11" w16cid:durableId="453326313">
    <w:abstractNumId w:val="31"/>
  </w:num>
  <w:num w:numId="12" w16cid:durableId="120422287">
    <w:abstractNumId w:val="11"/>
  </w:num>
  <w:num w:numId="13" w16cid:durableId="237054254">
    <w:abstractNumId w:val="19"/>
  </w:num>
  <w:num w:numId="14" w16cid:durableId="1860851815">
    <w:abstractNumId w:val="24"/>
  </w:num>
  <w:num w:numId="15" w16cid:durableId="981156020">
    <w:abstractNumId w:val="3"/>
  </w:num>
  <w:num w:numId="16" w16cid:durableId="2054190440">
    <w:abstractNumId w:val="1"/>
  </w:num>
  <w:num w:numId="17" w16cid:durableId="159590091">
    <w:abstractNumId w:val="8"/>
  </w:num>
  <w:num w:numId="18" w16cid:durableId="1134177617">
    <w:abstractNumId w:val="27"/>
  </w:num>
  <w:num w:numId="19" w16cid:durableId="2122725617">
    <w:abstractNumId w:val="23"/>
  </w:num>
  <w:num w:numId="20" w16cid:durableId="1658653409">
    <w:abstractNumId w:val="20"/>
  </w:num>
  <w:num w:numId="21" w16cid:durableId="1373112090">
    <w:abstractNumId w:val="30"/>
  </w:num>
  <w:num w:numId="22" w16cid:durableId="730495178">
    <w:abstractNumId w:val="21"/>
  </w:num>
  <w:num w:numId="23" w16cid:durableId="922837469">
    <w:abstractNumId w:val="26"/>
  </w:num>
  <w:num w:numId="24" w16cid:durableId="19056063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96973912">
    <w:abstractNumId w:val="12"/>
  </w:num>
  <w:num w:numId="26" w16cid:durableId="228686901">
    <w:abstractNumId w:val="29"/>
  </w:num>
  <w:num w:numId="27" w16cid:durableId="1649704334">
    <w:abstractNumId w:val="22"/>
  </w:num>
  <w:num w:numId="28" w16cid:durableId="181214516">
    <w:abstractNumId w:val="18"/>
  </w:num>
  <w:num w:numId="29" w16cid:durableId="15876110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15517876">
    <w:abstractNumId w:val="6"/>
  </w:num>
  <w:num w:numId="31" w16cid:durableId="541406588">
    <w:abstractNumId w:val="10"/>
  </w:num>
  <w:num w:numId="32" w16cid:durableId="27964761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4D2"/>
    <w:rsid w:val="000002A9"/>
    <w:rsid w:val="00000910"/>
    <w:rsid w:val="00001E01"/>
    <w:rsid w:val="00002044"/>
    <w:rsid w:val="000024EA"/>
    <w:rsid w:val="000032B0"/>
    <w:rsid w:val="000034BB"/>
    <w:rsid w:val="000062B0"/>
    <w:rsid w:val="0000654A"/>
    <w:rsid w:val="0000780C"/>
    <w:rsid w:val="00007F3A"/>
    <w:rsid w:val="000103CD"/>
    <w:rsid w:val="00010E47"/>
    <w:rsid w:val="000113B7"/>
    <w:rsid w:val="000123C0"/>
    <w:rsid w:val="00012FB2"/>
    <w:rsid w:val="00013107"/>
    <w:rsid w:val="0001396E"/>
    <w:rsid w:val="00016410"/>
    <w:rsid w:val="00016E4D"/>
    <w:rsid w:val="000179BF"/>
    <w:rsid w:val="0002153C"/>
    <w:rsid w:val="00023642"/>
    <w:rsid w:val="0002394A"/>
    <w:rsid w:val="00023C18"/>
    <w:rsid w:val="00024210"/>
    <w:rsid w:val="00024C86"/>
    <w:rsid w:val="00025F78"/>
    <w:rsid w:val="000261B3"/>
    <w:rsid w:val="00026F5F"/>
    <w:rsid w:val="000270F6"/>
    <w:rsid w:val="000301D3"/>
    <w:rsid w:val="000308F3"/>
    <w:rsid w:val="00030FAA"/>
    <w:rsid w:val="000316F7"/>
    <w:rsid w:val="00032458"/>
    <w:rsid w:val="0003272F"/>
    <w:rsid w:val="00032D3D"/>
    <w:rsid w:val="00032DA9"/>
    <w:rsid w:val="00033B12"/>
    <w:rsid w:val="00034444"/>
    <w:rsid w:val="000348DA"/>
    <w:rsid w:val="00034F59"/>
    <w:rsid w:val="00035795"/>
    <w:rsid w:val="000357B4"/>
    <w:rsid w:val="000358CA"/>
    <w:rsid w:val="00035DB7"/>
    <w:rsid w:val="0003655F"/>
    <w:rsid w:val="00036772"/>
    <w:rsid w:val="00037763"/>
    <w:rsid w:val="00037E28"/>
    <w:rsid w:val="00041457"/>
    <w:rsid w:val="000414D1"/>
    <w:rsid w:val="00041825"/>
    <w:rsid w:val="00042841"/>
    <w:rsid w:val="000432F1"/>
    <w:rsid w:val="00044229"/>
    <w:rsid w:val="000456B9"/>
    <w:rsid w:val="00045CA4"/>
    <w:rsid w:val="0004622D"/>
    <w:rsid w:val="00047B1C"/>
    <w:rsid w:val="00047B2A"/>
    <w:rsid w:val="00050075"/>
    <w:rsid w:val="000506CC"/>
    <w:rsid w:val="00053E30"/>
    <w:rsid w:val="00054276"/>
    <w:rsid w:val="00054DD8"/>
    <w:rsid w:val="00055611"/>
    <w:rsid w:val="00056A67"/>
    <w:rsid w:val="00057AAD"/>
    <w:rsid w:val="00057C16"/>
    <w:rsid w:val="00061140"/>
    <w:rsid w:val="0006164A"/>
    <w:rsid w:val="00062DDC"/>
    <w:rsid w:val="00062F8D"/>
    <w:rsid w:val="00062FE9"/>
    <w:rsid w:val="00063DDC"/>
    <w:rsid w:val="00063F65"/>
    <w:rsid w:val="00064226"/>
    <w:rsid w:val="000647EA"/>
    <w:rsid w:val="00064816"/>
    <w:rsid w:val="00064F28"/>
    <w:rsid w:val="000674CE"/>
    <w:rsid w:val="00071137"/>
    <w:rsid w:val="000716E4"/>
    <w:rsid w:val="00071938"/>
    <w:rsid w:val="00072323"/>
    <w:rsid w:val="00073257"/>
    <w:rsid w:val="000733D6"/>
    <w:rsid w:val="00073A5B"/>
    <w:rsid w:val="00073B58"/>
    <w:rsid w:val="00074803"/>
    <w:rsid w:val="000748A8"/>
    <w:rsid w:val="00075B75"/>
    <w:rsid w:val="00075EC2"/>
    <w:rsid w:val="000764DF"/>
    <w:rsid w:val="000776C4"/>
    <w:rsid w:val="000777C6"/>
    <w:rsid w:val="00081FDE"/>
    <w:rsid w:val="000824BC"/>
    <w:rsid w:val="00083297"/>
    <w:rsid w:val="00083D34"/>
    <w:rsid w:val="0008497B"/>
    <w:rsid w:val="000852A3"/>
    <w:rsid w:val="000852E8"/>
    <w:rsid w:val="00085E5A"/>
    <w:rsid w:val="0008610E"/>
    <w:rsid w:val="000865FE"/>
    <w:rsid w:val="00086762"/>
    <w:rsid w:val="00086E79"/>
    <w:rsid w:val="000870B2"/>
    <w:rsid w:val="00090822"/>
    <w:rsid w:val="0009084E"/>
    <w:rsid w:val="00091614"/>
    <w:rsid w:val="00091871"/>
    <w:rsid w:val="000918AF"/>
    <w:rsid w:val="00091B19"/>
    <w:rsid w:val="00091CDF"/>
    <w:rsid w:val="000923C3"/>
    <w:rsid w:val="000923E4"/>
    <w:rsid w:val="00092930"/>
    <w:rsid w:val="00093174"/>
    <w:rsid w:val="00093F07"/>
    <w:rsid w:val="00093F6E"/>
    <w:rsid w:val="000949AC"/>
    <w:rsid w:val="000956A9"/>
    <w:rsid w:val="00095B61"/>
    <w:rsid w:val="00097B6D"/>
    <w:rsid w:val="000A0D6D"/>
    <w:rsid w:val="000A0FBB"/>
    <w:rsid w:val="000A1592"/>
    <w:rsid w:val="000A268E"/>
    <w:rsid w:val="000A2993"/>
    <w:rsid w:val="000A4BDA"/>
    <w:rsid w:val="000A5467"/>
    <w:rsid w:val="000A5AE7"/>
    <w:rsid w:val="000A66F0"/>
    <w:rsid w:val="000A70AA"/>
    <w:rsid w:val="000A71A5"/>
    <w:rsid w:val="000A75A1"/>
    <w:rsid w:val="000A78E1"/>
    <w:rsid w:val="000A7EB3"/>
    <w:rsid w:val="000B04BF"/>
    <w:rsid w:val="000B3F06"/>
    <w:rsid w:val="000B4213"/>
    <w:rsid w:val="000B5600"/>
    <w:rsid w:val="000B57C7"/>
    <w:rsid w:val="000B5B1E"/>
    <w:rsid w:val="000B64BA"/>
    <w:rsid w:val="000B73D1"/>
    <w:rsid w:val="000B744B"/>
    <w:rsid w:val="000B79D4"/>
    <w:rsid w:val="000C08F6"/>
    <w:rsid w:val="000C1A22"/>
    <w:rsid w:val="000C1BB9"/>
    <w:rsid w:val="000C3212"/>
    <w:rsid w:val="000C38FB"/>
    <w:rsid w:val="000C4590"/>
    <w:rsid w:val="000C5C70"/>
    <w:rsid w:val="000C5F1E"/>
    <w:rsid w:val="000C634B"/>
    <w:rsid w:val="000C643A"/>
    <w:rsid w:val="000C71AA"/>
    <w:rsid w:val="000C7D79"/>
    <w:rsid w:val="000D09B5"/>
    <w:rsid w:val="000D2609"/>
    <w:rsid w:val="000D49B9"/>
    <w:rsid w:val="000D6470"/>
    <w:rsid w:val="000D7109"/>
    <w:rsid w:val="000D77BA"/>
    <w:rsid w:val="000D7ABA"/>
    <w:rsid w:val="000E006A"/>
    <w:rsid w:val="000E02A2"/>
    <w:rsid w:val="000E0FF0"/>
    <w:rsid w:val="000E102F"/>
    <w:rsid w:val="000E10BB"/>
    <w:rsid w:val="000E12C5"/>
    <w:rsid w:val="000E12DE"/>
    <w:rsid w:val="000E33FF"/>
    <w:rsid w:val="000E3574"/>
    <w:rsid w:val="000E44ED"/>
    <w:rsid w:val="000E456B"/>
    <w:rsid w:val="000E63F5"/>
    <w:rsid w:val="000E64F9"/>
    <w:rsid w:val="000E6B1A"/>
    <w:rsid w:val="000E76E6"/>
    <w:rsid w:val="000F0471"/>
    <w:rsid w:val="000F07F9"/>
    <w:rsid w:val="000F150C"/>
    <w:rsid w:val="000F1925"/>
    <w:rsid w:val="000F3551"/>
    <w:rsid w:val="000F4324"/>
    <w:rsid w:val="000F4B69"/>
    <w:rsid w:val="000F4BA4"/>
    <w:rsid w:val="000F4DE1"/>
    <w:rsid w:val="000F5B69"/>
    <w:rsid w:val="000F5C77"/>
    <w:rsid w:val="000F6098"/>
    <w:rsid w:val="000F6FC1"/>
    <w:rsid w:val="001003AE"/>
    <w:rsid w:val="001006F6"/>
    <w:rsid w:val="0010159E"/>
    <w:rsid w:val="001022C0"/>
    <w:rsid w:val="00103ACB"/>
    <w:rsid w:val="001048F5"/>
    <w:rsid w:val="00104E8E"/>
    <w:rsid w:val="001051CF"/>
    <w:rsid w:val="001100F4"/>
    <w:rsid w:val="00110D07"/>
    <w:rsid w:val="00111468"/>
    <w:rsid w:val="001114E1"/>
    <w:rsid w:val="00111B13"/>
    <w:rsid w:val="00111B28"/>
    <w:rsid w:val="00112385"/>
    <w:rsid w:val="001128AF"/>
    <w:rsid w:val="00113086"/>
    <w:rsid w:val="001135AC"/>
    <w:rsid w:val="0011407B"/>
    <w:rsid w:val="00114709"/>
    <w:rsid w:val="00114942"/>
    <w:rsid w:val="00114A6A"/>
    <w:rsid w:val="00114B41"/>
    <w:rsid w:val="00114EDF"/>
    <w:rsid w:val="00114EF2"/>
    <w:rsid w:val="001154C8"/>
    <w:rsid w:val="001166D1"/>
    <w:rsid w:val="0011679E"/>
    <w:rsid w:val="00116A1E"/>
    <w:rsid w:val="00116BC3"/>
    <w:rsid w:val="00120E01"/>
    <w:rsid w:val="0012176A"/>
    <w:rsid w:val="00121A39"/>
    <w:rsid w:val="00122F33"/>
    <w:rsid w:val="0012381B"/>
    <w:rsid w:val="00123C48"/>
    <w:rsid w:val="001244D0"/>
    <w:rsid w:val="00125651"/>
    <w:rsid w:val="00125B98"/>
    <w:rsid w:val="00126096"/>
    <w:rsid w:val="0012620B"/>
    <w:rsid w:val="00126D84"/>
    <w:rsid w:val="0012703C"/>
    <w:rsid w:val="00127380"/>
    <w:rsid w:val="00133BC9"/>
    <w:rsid w:val="00133BEA"/>
    <w:rsid w:val="0013406B"/>
    <w:rsid w:val="00134A4E"/>
    <w:rsid w:val="001353F0"/>
    <w:rsid w:val="00135DB3"/>
    <w:rsid w:val="00136212"/>
    <w:rsid w:val="00136D4D"/>
    <w:rsid w:val="00136D63"/>
    <w:rsid w:val="0013707A"/>
    <w:rsid w:val="001402D5"/>
    <w:rsid w:val="00140CA0"/>
    <w:rsid w:val="001429C8"/>
    <w:rsid w:val="00142A7A"/>
    <w:rsid w:val="001434FB"/>
    <w:rsid w:val="00143528"/>
    <w:rsid w:val="001439A9"/>
    <w:rsid w:val="00143AED"/>
    <w:rsid w:val="00145607"/>
    <w:rsid w:val="0014673C"/>
    <w:rsid w:val="00146ED6"/>
    <w:rsid w:val="00146ED9"/>
    <w:rsid w:val="0015107F"/>
    <w:rsid w:val="001520F6"/>
    <w:rsid w:val="0015389E"/>
    <w:rsid w:val="001541A1"/>
    <w:rsid w:val="001549CA"/>
    <w:rsid w:val="00155239"/>
    <w:rsid w:val="0015577E"/>
    <w:rsid w:val="00155D1F"/>
    <w:rsid w:val="00155D24"/>
    <w:rsid w:val="00155E0A"/>
    <w:rsid w:val="0015713B"/>
    <w:rsid w:val="00157579"/>
    <w:rsid w:val="00160883"/>
    <w:rsid w:val="001608A1"/>
    <w:rsid w:val="001622CD"/>
    <w:rsid w:val="001623F1"/>
    <w:rsid w:val="001626D3"/>
    <w:rsid w:val="0016371F"/>
    <w:rsid w:val="00163720"/>
    <w:rsid w:val="001639F3"/>
    <w:rsid w:val="001644A4"/>
    <w:rsid w:val="00165657"/>
    <w:rsid w:val="00165A7A"/>
    <w:rsid w:val="00165C95"/>
    <w:rsid w:val="00165E55"/>
    <w:rsid w:val="0016606E"/>
    <w:rsid w:val="00166206"/>
    <w:rsid w:val="001662AF"/>
    <w:rsid w:val="00166598"/>
    <w:rsid w:val="001677B3"/>
    <w:rsid w:val="00167BBB"/>
    <w:rsid w:val="00170A4F"/>
    <w:rsid w:val="00172B7C"/>
    <w:rsid w:val="001739EB"/>
    <w:rsid w:val="00174884"/>
    <w:rsid w:val="00174966"/>
    <w:rsid w:val="00175530"/>
    <w:rsid w:val="00175F16"/>
    <w:rsid w:val="0017683D"/>
    <w:rsid w:val="00176FED"/>
    <w:rsid w:val="001774B1"/>
    <w:rsid w:val="0018004E"/>
    <w:rsid w:val="00184F31"/>
    <w:rsid w:val="0018565A"/>
    <w:rsid w:val="00185FB0"/>
    <w:rsid w:val="001869B7"/>
    <w:rsid w:val="00187743"/>
    <w:rsid w:val="00192214"/>
    <w:rsid w:val="001922FF"/>
    <w:rsid w:val="0019267A"/>
    <w:rsid w:val="0019308F"/>
    <w:rsid w:val="00194638"/>
    <w:rsid w:val="001948C3"/>
    <w:rsid w:val="00194E56"/>
    <w:rsid w:val="00195014"/>
    <w:rsid w:val="0019527F"/>
    <w:rsid w:val="001965CC"/>
    <w:rsid w:val="00196AC6"/>
    <w:rsid w:val="00196D6B"/>
    <w:rsid w:val="00196ED5"/>
    <w:rsid w:val="0019738D"/>
    <w:rsid w:val="0019767C"/>
    <w:rsid w:val="001979F7"/>
    <w:rsid w:val="00197A0C"/>
    <w:rsid w:val="001A0048"/>
    <w:rsid w:val="001A03C6"/>
    <w:rsid w:val="001A04DC"/>
    <w:rsid w:val="001A0D35"/>
    <w:rsid w:val="001A11C0"/>
    <w:rsid w:val="001A1A55"/>
    <w:rsid w:val="001A2BED"/>
    <w:rsid w:val="001A3957"/>
    <w:rsid w:val="001A3F28"/>
    <w:rsid w:val="001A443C"/>
    <w:rsid w:val="001A4A2E"/>
    <w:rsid w:val="001A4C15"/>
    <w:rsid w:val="001A757F"/>
    <w:rsid w:val="001B06EB"/>
    <w:rsid w:val="001B0DF0"/>
    <w:rsid w:val="001B0F93"/>
    <w:rsid w:val="001B10CB"/>
    <w:rsid w:val="001B15E3"/>
    <w:rsid w:val="001B2C4C"/>
    <w:rsid w:val="001B389A"/>
    <w:rsid w:val="001B39B5"/>
    <w:rsid w:val="001B3BDC"/>
    <w:rsid w:val="001B440E"/>
    <w:rsid w:val="001B4A08"/>
    <w:rsid w:val="001B4D56"/>
    <w:rsid w:val="001B503C"/>
    <w:rsid w:val="001B59E7"/>
    <w:rsid w:val="001B5E03"/>
    <w:rsid w:val="001B66C3"/>
    <w:rsid w:val="001B6A66"/>
    <w:rsid w:val="001B77C9"/>
    <w:rsid w:val="001B7BC3"/>
    <w:rsid w:val="001B7DC1"/>
    <w:rsid w:val="001C053B"/>
    <w:rsid w:val="001C0998"/>
    <w:rsid w:val="001C12B4"/>
    <w:rsid w:val="001C1672"/>
    <w:rsid w:val="001C1B47"/>
    <w:rsid w:val="001C1BB2"/>
    <w:rsid w:val="001C2536"/>
    <w:rsid w:val="001C2779"/>
    <w:rsid w:val="001C3179"/>
    <w:rsid w:val="001C3573"/>
    <w:rsid w:val="001C3888"/>
    <w:rsid w:val="001C5061"/>
    <w:rsid w:val="001C5680"/>
    <w:rsid w:val="001C6C5E"/>
    <w:rsid w:val="001C7155"/>
    <w:rsid w:val="001D0CF7"/>
    <w:rsid w:val="001D14D2"/>
    <w:rsid w:val="001D182A"/>
    <w:rsid w:val="001D2A58"/>
    <w:rsid w:val="001D33FD"/>
    <w:rsid w:val="001D3C18"/>
    <w:rsid w:val="001E05C6"/>
    <w:rsid w:val="001E06A3"/>
    <w:rsid w:val="001E098B"/>
    <w:rsid w:val="001E0CC1"/>
    <w:rsid w:val="001E11CB"/>
    <w:rsid w:val="001E186C"/>
    <w:rsid w:val="001E212F"/>
    <w:rsid w:val="001E233A"/>
    <w:rsid w:val="001E3129"/>
    <w:rsid w:val="001E4856"/>
    <w:rsid w:val="001E55EE"/>
    <w:rsid w:val="001E5F02"/>
    <w:rsid w:val="001E6279"/>
    <w:rsid w:val="001E6451"/>
    <w:rsid w:val="001E6583"/>
    <w:rsid w:val="001E6814"/>
    <w:rsid w:val="001E6DFA"/>
    <w:rsid w:val="001E78BC"/>
    <w:rsid w:val="001F03B5"/>
    <w:rsid w:val="001F04E3"/>
    <w:rsid w:val="001F07A5"/>
    <w:rsid w:val="001F07D6"/>
    <w:rsid w:val="001F1052"/>
    <w:rsid w:val="001F20AF"/>
    <w:rsid w:val="001F2281"/>
    <w:rsid w:val="001F3A34"/>
    <w:rsid w:val="001F4BE7"/>
    <w:rsid w:val="001F54FF"/>
    <w:rsid w:val="001F565C"/>
    <w:rsid w:val="001F57E5"/>
    <w:rsid w:val="001F5C09"/>
    <w:rsid w:val="001F616F"/>
    <w:rsid w:val="001F6A3F"/>
    <w:rsid w:val="001F6C3F"/>
    <w:rsid w:val="00200DF4"/>
    <w:rsid w:val="00201209"/>
    <w:rsid w:val="002026BF"/>
    <w:rsid w:val="0020270A"/>
    <w:rsid w:val="002027BC"/>
    <w:rsid w:val="002035B6"/>
    <w:rsid w:val="002069C4"/>
    <w:rsid w:val="0020724D"/>
    <w:rsid w:val="00210790"/>
    <w:rsid w:val="00212520"/>
    <w:rsid w:val="002136B2"/>
    <w:rsid w:val="002145E0"/>
    <w:rsid w:val="0021635F"/>
    <w:rsid w:val="00216494"/>
    <w:rsid w:val="0021772A"/>
    <w:rsid w:val="0022173A"/>
    <w:rsid w:val="00222D33"/>
    <w:rsid w:val="00222F9D"/>
    <w:rsid w:val="0022311B"/>
    <w:rsid w:val="002237CF"/>
    <w:rsid w:val="0022398D"/>
    <w:rsid w:val="0022409B"/>
    <w:rsid w:val="0022489F"/>
    <w:rsid w:val="00226976"/>
    <w:rsid w:val="00227DE9"/>
    <w:rsid w:val="00230C35"/>
    <w:rsid w:val="00230E7E"/>
    <w:rsid w:val="002316A9"/>
    <w:rsid w:val="00231875"/>
    <w:rsid w:val="00231B50"/>
    <w:rsid w:val="0023218A"/>
    <w:rsid w:val="00233779"/>
    <w:rsid w:val="002337B9"/>
    <w:rsid w:val="00233C66"/>
    <w:rsid w:val="00235062"/>
    <w:rsid w:val="00235111"/>
    <w:rsid w:val="00235DD6"/>
    <w:rsid w:val="00235E95"/>
    <w:rsid w:val="002369E8"/>
    <w:rsid w:val="002408EB"/>
    <w:rsid w:val="00242A71"/>
    <w:rsid w:val="00243515"/>
    <w:rsid w:val="00243D24"/>
    <w:rsid w:val="00244371"/>
    <w:rsid w:val="002468BA"/>
    <w:rsid w:val="00247A14"/>
    <w:rsid w:val="00247E7A"/>
    <w:rsid w:val="0025058C"/>
    <w:rsid w:val="00250621"/>
    <w:rsid w:val="0025063E"/>
    <w:rsid w:val="00250B8F"/>
    <w:rsid w:val="00252FE7"/>
    <w:rsid w:val="0025346B"/>
    <w:rsid w:val="002537F0"/>
    <w:rsid w:val="002538A4"/>
    <w:rsid w:val="00253CA0"/>
    <w:rsid w:val="00253E14"/>
    <w:rsid w:val="00256EBF"/>
    <w:rsid w:val="00260BCF"/>
    <w:rsid w:val="00260E5A"/>
    <w:rsid w:val="00262238"/>
    <w:rsid w:val="00262D2B"/>
    <w:rsid w:val="00262E59"/>
    <w:rsid w:val="00264AE8"/>
    <w:rsid w:val="00264F87"/>
    <w:rsid w:val="0026535A"/>
    <w:rsid w:val="002658E0"/>
    <w:rsid w:val="002722DA"/>
    <w:rsid w:val="002730F6"/>
    <w:rsid w:val="002740E6"/>
    <w:rsid w:val="00275181"/>
    <w:rsid w:val="00275791"/>
    <w:rsid w:val="00275840"/>
    <w:rsid w:val="002765FA"/>
    <w:rsid w:val="002803DE"/>
    <w:rsid w:val="002807AB"/>
    <w:rsid w:val="00280E07"/>
    <w:rsid w:val="00281308"/>
    <w:rsid w:val="002816AA"/>
    <w:rsid w:val="002818C4"/>
    <w:rsid w:val="00282956"/>
    <w:rsid w:val="00282F5D"/>
    <w:rsid w:val="00284015"/>
    <w:rsid w:val="00284CD0"/>
    <w:rsid w:val="00285EA7"/>
    <w:rsid w:val="0028601B"/>
    <w:rsid w:val="0028633B"/>
    <w:rsid w:val="00286D9B"/>
    <w:rsid w:val="002871A8"/>
    <w:rsid w:val="00287D5E"/>
    <w:rsid w:val="002904DE"/>
    <w:rsid w:val="002919BB"/>
    <w:rsid w:val="002920D6"/>
    <w:rsid w:val="00293541"/>
    <w:rsid w:val="00294126"/>
    <w:rsid w:val="00294AD5"/>
    <w:rsid w:val="00295209"/>
    <w:rsid w:val="002977EE"/>
    <w:rsid w:val="002A0991"/>
    <w:rsid w:val="002A0A6B"/>
    <w:rsid w:val="002A2E1D"/>
    <w:rsid w:val="002A44A4"/>
    <w:rsid w:val="002A4C95"/>
    <w:rsid w:val="002A5155"/>
    <w:rsid w:val="002A5F5D"/>
    <w:rsid w:val="002A6984"/>
    <w:rsid w:val="002A6991"/>
    <w:rsid w:val="002A6F48"/>
    <w:rsid w:val="002B0195"/>
    <w:rsid w:val="002B0EED"/>
    <w:rsid w:val="002B126E"/>
    <w:rsid w:val="002B25A9"/>
    <w:rsid w:val="002B45C9"/>
    <w:rsid w:val="002B4E0B"/>
    <w:rsid w:val="002B6852"/>
    <w:rsid w:val="002B75B8"/>
    <w:rsid w:val="002B7A63"/>
    <w:rsid w:val="002B7B88"/>
    <w:rsid w:val="002C02A8"/>
    <w:rsid w:val="002C266B"/>
    <w:rsid w:val="002C3044"/>
    <w:rsid w:val="002C3959"/>
    <w:rsid w:val="002C3C74"/>
    <w:rsid w:val="002C424D"/>
    <w:rsid w:val="002C46D7"/>
    <w:rsid w:val="002C54F9"/>
    <w:rsid w:val="002C5E3B"/>
    <w:rsid w:val="002C68A5"/>
    <w:rsid w:val="002C6A69"/>
    <w:rsid w:val="002C6AAB"/>
    <w:rsid w:val="002D3AF1"/>
    <w:rsid w:val="002D3B25"/>
    <w:rsid w:val="002D4CAD"/>
    <w:rsid w:val="002D5FE0"/>
    <w:rsid w:val="002D624E"/>
    <w:rsid w:val="002D6748"/>
    <w:rsid w:val="002D7ABE"/>
    <w:rsid w:val="002E1444"/>
    <w:rsid w:val="002E21FE"/>
    <w:rsid w:val="002E2A90"/>
    <w:rsid w:val="002E4C13"/>
    <w:rsid w:val="002E61AB"/>
    <w:rsid w:val="002E6423"/>
    <w:rsid w:val="002E7643"/>
    <w:rsid w:val="002E7A53"/>
    <w:rsid w:val="002F0665"/>
    <w:rsid w:val="002F18F5"/>
    <w:rsid w:val="002F212C"/>
    <w:rsid w:val="002F2354"/>
    <w:rsid w:val="002F24E7"/>
    <w:rsid w:val="002F31B1"/>
    <w:rsid w:val="002F42A2"/>
    <w:rsid w:val="002F65A1"/>
    <w:rsid w:val="002F67D7"/>
    <w:rsid w:val="002F7261"/>
    <w:rsid w:val="00302493"/>
    <w:rsid w:val="00302C29"/>
    <w:rsid w:val="00302FB5"/>
    <w:rsid w:val="00303634"/>
    <w:rsid w:val="00303AE1"/>
    <w:rsid w:val="00303FD3"/>
    <w:rsid w:val="0030431C"/>
    <w:rsid w:val="00304886"/>
    <w:rsid w:val="0030563A"/>
    <w:rsid w:val="00305682"/>
    <w:rsid w:val="00307144"/>
    <w:rsid w:val="00307305"/>
    <w:rsid w:val="00307A65"/>
    <w:rsid w:val="00310B8D"/>
    <w:rsid w:val="0031120F"/>
    <w:rsid w:val="00311903"/>
    <w:rsid w:val="00312C17"/>
    <w:rsid w:val="00313239"/>
    <w:rsid w:val="003148BA"/>
    <w:rsid w:val="00314EF9"/>
    <w:rsid w:val="003157F2"/>
    <w:rsid w:val="003157F5"/>
    <w:rsid w:val="00315E41"/>
    <w:rsid w:val="0031602F"/>
    <w:rsid w:val="00316320"/>
    <w:rsid w:val="00317EC2"/>
    <w:rsid w:val="00320275"/>
    <w:rsid w:val="00320B42"/>
    <w:rsid w:val="00321DE7"/>
    <w:rsid w:val="00322A27"/>
    <w:rsid w:val="00322C06"/>
    <w:rsid w:val="00322D53"/>
    <w:rsid w:val="003232DC"/>
    <w:rsid w:val="003242AF"/>
    <w:rsid w:val="0032533A"/>
    <w:rsid w:val="00325F58"/>
    <w:rsid w:val="00326E1D"/>
    <w:rsid w:val="00326F3A"/>
    <w:rsid w:val="00326FE1"/>
    <w:rsid w:val="00331114"/>
    <w:rsid w:val="003312E9"/>
    <w:rsid w:val="00331943"/>
    <w:rsid w:val="0033377C"/>
    <w:rsid w:val="00333CCE"/>
    <w:rsid w:val="0033461C"/>
    <w:rsid w:val="0033495A"/>
    <w:rsid w:val="00334EEA"/>
    <w:rsid w:val="00335A11"/>
    <w:rsid w:val="00336F79"/>
    <w:rsid w:val="003378D1"/>
    <w:rsid w:val="0034065C"/>
    <w:rsid w:val="00340BA2"/>
    <w:rsid w:val="003410F3"/>
    <w:rsid w:val="00341CF8"/>
    <w:rsid w:val="00341EFD"/>
    <w:rsid w:val="003421FE"/>
    <w:rsid w:val="00342783"/>
    <w:rsid w:val="00344673"/>
    <w:rsid w:val="00344DE9"/>
    <w:rsid w:val="0034556E"/>
    <w:rsid w:val="00345FA7"/>
    <w:rsid w:val="003464C4"/>
    <w:rsid w:val="00346BEF"/>
    <w:rsid w:val="003470A1"/>
    <w:rsid w:val="003471B4"/>
    <w:rsid w:val="003473E9"/>
    <w:rsid w:val="00347A24"/>
    <w:rsid w:val="0035002F"/>
    <w:rsid w:val="003504C6"/>
    <w:rsid w:val="00350D9E"/>
    <w:rsid w:val="00351223"/>
    <w:rsid w:val="003522BD"/>
    <w:rsid w:val="00352740"/>
    <w:rsid w:val="00352804"/>
    <w:rsid w:val="00353160"/>
    <w:rsid w:val="00353BB1"/>
    <w:rsid w:val="00354297"/>
    <w:rsid w:val="003551D6"/>
    <w:rsid w:val="0035524F"/>
    <w:rsid w:val="00356122"/>
    <w:rsid w:val="003565DE"/>
    <w:rsid w:val="00357431"/>
    <w:rsid w:val="00357A82"/>
    <w:rsid w:val="00357C99"/>
    <w:rsid w:val="00360992"/>
    <w:rsid w:val="00360AB9"/>
    <w:rsid w:val="00360E71"/>
    <w:rsid w:val="003629EA"/>
    <w:rsid w:val="00362E24"/>
    <w:rsid w:val="0036309E"/>
    <w:rsid w:val="00364BD7"/>
    <w:rsid w:val="00366968"/>
    <w:rsid w:val="00367A2A"/>
    <w:rsid w:val="00371A96"/>
    <w:rsid w:val="00371E2F"/>
    <w:rsid w:val="00373D49"/>
    <w:rsid w:val="00373DA0"/>
    <w:rsid w:val="00374743"/>
    <w:rsid w:val="00374BDB"/>
    <w:rsid w:val="00375BE7"/>
    <w:rsid w:val="0037677A"/>
    <w:rsid w:val="003767C7"/>
    <w:rsid w:val="00376A34"/>
    <w:rsid w:val="00376A8F"/>
    <w:rsid w:val="00376E5A"/>
    <w:rsid w:val="003778F3"/>
    <w:rsid w:val="00377FC0"/>
    <w:rsid w:val="0038010C"/>
    <w:rsid w:val="0038038D"/>
    <w:rsid w:val="003804A3"/>
    <w:rsid w:val="00380C95"/>
    <w:rsid w:val="00381814"/>
    <w:rsid w:val="00381E76"/>
    <w:rsid w:val="00383905"/>
    <w:rsid w:val="0038392E"/>
    <w:rsid w:val="00383B42"/>
    <w:rsid w:val="003867D0"/>
    <w:rsid w:val="00386AC9"/>
    <w:rsid w:val="00387137"/>
    <w:rsid w:val="00391B33"/>
    <w:rsid w:val="00393BAA"/>
    <w:rsid w:val="00393D31"/>
    <w:rsid w:val="00393F79"/>
    <w:rsid w:val="003950D5"/>
    <w:rsid w:val="003950EE"/>
    <w:rsid w:val="0039541E"/>
    <w:rsid w:val="00397B7C"/>
    <w:rsid w:val="003A0082"/>
    <w:rsid w:val="003A0384"/>
    <w:rsid w:val="003A0786"/>
    <w:rsid w:val="003A08BE"/>
    <w:rsid w:val="003A2266"/>
    <w:rsid w:val="003A2A0A"/>
    <w:rsid w:val="003A2BB1"/>
    <w:rsid w:val="003A2FAE"/>
    <w:rsid w:val="003A3918"/>
    <w:rsid w:val="003A5438"/>
    <w:rsid w:val="003A6A12"/>
    <w:rsid w:val="003A6A2A"/>
    <w:rsid w:val="003A6A9B"/>
    <w:rsid w:val="003A6DD7"/>
    <w:rsid w:val="003B0025"/>
    <w:rsid w:val="003B04C9"/>
    <w:rsid w:val="003B2CB3"/>
    <w:rsid w:val="003B3955"/>
    <w:rsid w:val="003B42F7"/>
    <w:rsid w:val="003B4A6F"/>
    <w:rsid w:val="003B4D31"/>
    <w:rsid w:val="003B509D"/>
    <w:rsid w:val="003B6182"/>
    <w:rsid w:val="003B6860"/>
    <w:rsid w:val="003B6C9F"/>
    <w:rsid w:val="003B6D41"/>
    <w:rsid w:val="003C091E"/>
    <w:rsid w:val="003C09E1"/>
    <w:rsid w:val="003C0B4C"/>
    <w:rsid w:val="003C1A00"/>
    <w:rsid w:val="003C2D06"/>
    <w:rsid w:val="003C31AA"/>
    <w:rsid w:val="003C3879"/>
    <w:rsid w:val="003C5471"/>
    <w:rsid w:val="003C5862"/>
    <w:rsid w:val="003C6D32"/>
    <w:rsid w:val="003C76B9"/>
    <w:rsid w:val="003D1D73"/>
    <w:rsid w:val="003D2BD2"/>
    <w:rsid w:val="003D2EE5"/>
    <w:rsid w:val="003D436A"/>
    <w:rsid w:val="003D4AFA"/>
    <w:rsid w:val="003D5266"/>
    <w:rsid w:val="003D5C14"/>
    <w:rsid w:val="003D6F6E"/>
    <w:rsid w:val="003E0A56"/>
    <w:rsid w:val="003E1DF2"/>
    <w:rsid w:val="003E39FB"/>
    <w:rsid w:val="003E5BFE"/>
    <w:rsid w:val="003E6241"/>
    <w:rsid w:val="003E62B6"/>
    <w:rsid w:val="003E6BDC"/>
    <w:rsid w:val="003E7037"/>
    <w:rsid w:val="003E7722"/>
    <w:rsid w:val="003F2B4B"/>
    <w:rsid w:val="003F2E7E"/>
    <w:rsid w:val="003F3D6E"/>
    <w:rsid w:val="003F515A"/>
    <w:rsid w:val="003F5EA7"/>
    <w:rsid w:val="003F5F07"/>
    <w:rsid w:val="003F7194"/>
    <w:rsid w:val="003F73EE"/>
    <w:rsid w:val="003F7917"/>
    <w:rsid w:val="00400900"/>
    <w:rsid w:val="00401440"/>
    <w:rsid w:val="00402788"/>
    <w:rsid w:val="00402E65"/>
    <w:rsid w:val="00405019"/>
    <w:rsid w:val="00405195"/>
    <w:rsid w:val="00406F27"/>
    <w:rsid w:val="00407D00"/>
    <w:rsid w:val="00410737"/>
    <w:rsid w:val="004108CF"/>
    <w:rsid w:val="004112A5"/>
    <w:rsid w:val="0041237B"/>
    <w:rsid w:val="00412767"/>
    <w:rsid w:val="00412D9F"/>
    <w:rsid w:val="004135E1"/>
    <w:rsid w:val="00414261"/>
    <w:rsid w:val="00416596"/>
    <w:rsid w:val="0041688A"/>
    <w:rsid w:val="00417390"/>
    <w:rsid w:val="0041740D"/>
    <w:rsid w:val="00417D55"/>
    <w:rsid w:val="0042169A"/>
    <w:rsid w:val="00422B5C"/>
    <w:rsid w:val="00422E1E"/>
    <w:rsid w:val="004246D4"/>
    <w:rsid w:val="004249A3"/>
    <w:rsid w:val="00424A69"/>
    <w:rsid w:val="00424CB0"/>
    <w:rsid w:val="00424EE6"/>
    <w:rsid w:val="0042544A"/>
    <w:rsid w:val="00425A02"/>
    <w:rsid w:val="00425E34"/>
    <w:rsid w:val="0042608C"/>
    <w:rsid w:val="0042626E"/>
    <w:rsid w:val="004302CA"/>
    <w:rsid w:val="00430A6A"/>
    <w:rsid w:val="00431494"/>
    <w:rsid w:val="00431ECD"/>
    <w:rsid w:val="00432B64"/>
    <w:rsid w:val="00433373"/>
    <w:rsid w:val="00433603"/>
    <w:rsid w:val="00433D52"/>
    <w:rsid w:val="00433FC2"/>
    <w:rsid w:val="00435192"/>
    <w:rsid w:val="00437023"/>
    <w:rsid w:val="0043780B"/>
    <w:rsid w:val="00437B7B"/>
    <w:rsid w:val="00440108"/>
    <w:rsid w:val="00440CDA"/>
    <w:rsid w:val="00440CEE"/>
    <w:rsid w:val="00441616"/>
    <w:rsid w:val="00441E05"/>
    <w:rsid w:val="00442D4E"/>
    <w:rsid w:val="00442E5B"/>
    <w:rsid w:val="004439C2"/>
    <w:rsid w:val="00444261"/>
    <w:rsid w:val="00444E29"/>
    <w:rsid w:val="004502B4"/>
    <w:rsid w:val="00450936"/>
    <w:rsid w:val="004510D1"/>
    <w:rsid w:val="00452A27"/>
    <w:rsid w:val="0045375C"/>
    <w:rsid w:val="00453A51"/>
    <w:rsid w:val="004546FC"/>
    <w:rsid w:val="0045532C"/>
    <w:rsid w:val="00456321"/>
    <w:rsid w:val="00456799"/>
    <w:rsid w:val="004569C3"/>
    <w:rsid w:val="00457EF2"/>
    <w:rsid w:val="004622B7"/>
    <w:rsid w:val="00463EB6"/>
    <w:rsid w:val="004649E6"/>
    <w:rsid w:val="00465BE5"/>
    <w:rsid w:val="00465E3F"/>
    <w:rsid w:val="00467014"/>
    <w:rsid w:val="004670E5"/>
    <w:rsid w:val="00467DFE"/>
    <w:rsid w:val="0047008F"/>
    <w:rsid w:val="00470B01"/>
    <w:rsid w:val="00471DB2"/>
    <w:rsid w:val="00472B7F"/>
    <w:rsid w:val="00472CB3"/>
    <w:rsid w:val="00473848"/>
    <w:rsid w:val="0047399F"/>
    <w:rsid w:val="00474548"/>
    <w:rsid w:val="00474F1A"/>
    <w:rsid w:val="00475AD4"/>
    <w:rsid w:val="00476405"/>
    <w:rsid w:val="0047655D"/>
    <w:rsid w:val="00477084"/>
    <w:rsid w:val="004772FE"/>
    <w:rsid w:val="00481463"/>
    <w:rsid w:val="0048313C"/>
    <w:rsid w:val="00483148"/>
    <w:rsid w:val="004831A8"/>
    <w:rsid w:val="0048373E"/>
    <w:rsid w:val="004840A6"/>
    <w:rsid w:val="004848A0"/>
    <w:rsid w:val="00484B07"/>
    <w:rsid w:val="00484FA1"/>
    <w:rsid w:val="00485C77"/>
    <w:rsid w:val="0048762E"/>
    <w:rsid w:val="004909CF"/>
    <w:rsid w:val="00491215"/>
    <w:rsid w:val="004912BF"/>
    <w:rsid w:val="00491C4D"/>
    <w:rsid w:val="00491FDC"/>
    <w:rsid w:val="00492849"/>
    <w:rsid w:val="00492EC4"/>
    <w:rsid w:val="0049480C"/>
    <w:rsid w:val="00494FFA"/>
    <w:rsid w:val="00495035"/>
    <w:rsid w:val="0049596C"/>
    <w:rsid w:val="00495FAF"/>
    <w:rsid w:val="004971BD"/>
    <w:rsid w:val="00497630"/>
    <w:rsid w:val="00497B7A"/>
    <w:rsid w:val="00497F42"/>
    <w:rsid w:val="004A01FA"/>
    <w:rsid w:val="004A331F"/>
    <w:rsid w:val="004A4DEC"/>
    <w:rsid w:val="004A53CC"/>
    <w:rsid w:val="004A53EC"/>
    <w:rsid w:val="004A58C5"/>
    <w:rsid w:val="004A5D58"/>
    <w:rsid w:val="004A71AD"/>
    <w:rsid w:val="004A7A00"/>
    <w:rsid w:val="004B1C03"/>
    <w:rsid w:val="004B23E0"/>
    <w:rsid w:val="004B2692"/>
    <w:rsid w:val="004B33C4"/>
    <w:rsid w:val="004B34DF"/>
    <w:rsid w:val="004B3539"/>
    <w:rsid w:val="004B3566"/>
    <w:rsid w:val="004B36D7"/>
    <w:rsid w:val="004B3E4A"/>
    <w:rsid w:val="004B4695"/>
    <w:rsid w:val="004B485B"/>
    <w:rsid w:val="004B4A58"/>
    <w:rsid w:val="004B4FF5"/>
    <w:rsid w:val="004B5230"/>
    <w:rsid w:val="004B61C0"/>
    <w:rsid w:val="004B6CAE"/>
    <w:rsid w:val="004C045A"/>
    <w:rsid w:val="004C1D87"/>
    <w:rsid w:val="004C211E"/>
    <w:rsid w:val="004C245B"/>
    <w:rsid w:val="004C29B4"/>
    <w:rsid w:val="004C3B45"/>
    <w:rsid w:val="004C4079"/>
    <w:rsid w:val="004C47F7"/>
    <w:rsid w:val="004C4B2B"/>
    <w:rsid w:val="004C4BFE"/>
    <w:rsid w:val="004C4D7B"/>
    <w:rsid w:val="004C510C"/>
    <w:rsid w:val="004C52DC"/>
    <w:rsid w:val="004C67DA"/>
    <w:rsid w:val="004C6AAD"/>
    <w:rsid w:val="004C6B00"/>
    <w:rsid w:val="004C7E5E"/>
    <w:rsid w:val="004D02CD"/>
    <w:rsid w:val="004D0767"/>
    <w:rsid w:val="004D14A3"/>
    <w:rsid w:val="004D1585"/>
    <w:rsid w:val="004D16C2"/>
    <w:rsid w:val="004D1BDF"/>
    <w:rsid w:val="004D4C63"/>
    <w:rsid w:val="004D6321"/>
    <w:rsid w:val="004D6614"/>
    <w:rsid w:val="004D6BBA"/>
    <w:rsid w:val="004D6D54"/>
    <w:rsid w:val="004D6EEC"/>
    <w:rsid w:val="004D73B4"/>
    <w:rsid w:val="004D7D6A"/>
    <w:rsid w:val="004D7F2A"/>
    <w:rsid w:val="004E04D4"/>
    <w:rsid w:val="004E129B"/>
    <w:rsid w:val="004E159B"/>
    <w:rsid w:val="004E1733"/>
    <w:rsid w:val="004E19EB"/>
    <w:rsid w:val="004E26C3"/>
    <w:rsid w:val="004E307A"/>
    <w:rsid w:val="004E4A1A"/>
    <w:rsid w:val="004E4B05"/>
    <w:rsid w:val="004E5EBA"/>
    <w:rsid w:val="004E6198"/>
    <w:rsid w:val="004E62F1"/>
    <w:rsid w:val="004E641E"/>
    <w:rsid w:val="004E650C"/>
    <w:rsid w:val="004E6AB3"/>
    <w:rsid w:val="004E6EDF"/>
    <w:rsid w:val="004F00E3"/>
    <w:rsid w:val="004F18A0"/>
    <w:rsid w:val="004F1EB0"/>
    <w:rsid w:val="004F1EBF"/>
    <w:rsid w:val="004F2DE6"/>
    <w:rsid w:val="004F3574"/>
    <w:rsid w:val="004F504A"/>
    <w:rsid w:val="004F660A"/>
    <w:rsid w:val="004F737A"/>
    <w:rsid w:val="004F7654"/>
    <w:rsid w:val="00502115"/>
    <w:rsid w:val="00503706"/>
    <w:rsid w:val="005037C2"/>
    <w:rsid w:val="00503D8C"/>
    <w:rsid w:val="00503E5F"/>
    <w:rsid w:val="00504101"/>
    <w:rsid w:val="005048A7"/>
    <w:rsid w:val="0050525F"/>
    <w:rsid w:val="005072DD"/>
    <w:rsid w:val="00507B6A"/>
    <w:rsid w:val="00510086"/>
    <w:rsid w:val="005100F8"/>
    <w:rsid w:val="00510A9A"/>
    <w:rsid w:val="00510AA3"/>
    <w:rsid w:val="005121FE"/>
    <w:rsid w:val="00512B85"/>
    <w:rsid w:val="00512CD3"/>
    <w:rsid w:val="00513EAD"/>
    <w:rsid w:val="00514336"/>
    <w:rsid w:val="00514D59"/>
    <w:rsid w:val="0051566D"/>
    <w:rsid w:val="0051680C"/>
    <w:rsid w:val="00520AC0"/>
    <w:rsid w:val="00520BE5"/>
    <w:rsid w:val="00521310"/>
    <w:rsid w:val="005217B9"/>
    <w:rsid w:val="00521DAD"/>
    <w:rsid w:val="00522A1F"/>
    <w:rsid w:val="00522A89"/>
    <w:rsid w:val="005239C3"/>
    <w:rsid w:val="00523E97"/>
    <w:rsid w:val="0052405D"/>
    <w:rsid w:val="00524EA8"/>
    <w:rsid w:val="00530142"/>
    <w:rsid w:val="00530441"/>
    <w:rsid w:val="00530FA8"/>
    <w:rsid w:val="0053196B"/>
    <w:rsid w:val="00533242"/>
    <w:rsid w:val="005336C3"/>
    <w:rsid w:val="00535766"/>
    <w:rsid w:val="00535BF1"/>
    <w:rsid w:val="005362E7"/>
    <w:rsid w:val="0053746C"/>
    <w:rsid w:val="0053766F"/>
    <w:rsid w:val="00537888"/>
    <w:rsid w:val="0054036A"/>
    <w:rsid w:val="00540476"/>
    <w:rsid w:val="00541250"/>
    <w:rsid w:val="00541A5E"/>
    <w:rsid w:val="00541C94"/>
    <w:rsid w:val="005420B7"/>
    <w:rsid w:val="00542453"/>
    <w:rsid w:val="00542AF8"/>
    <w:rsid w:val="005436B7"/>
    <w:rsid w:val="00546D6F"/>
    <w:rsid w:val="00551045"/>
    <w:rsid w:val="00551765"/>
    <w:rsid w:val="00551E93"/>
    <w:rsid w:val="00551F65"/>
    <w:rsid w:val="005555E2"/>
    <w:rsid w:val="005563FF"/>
    <w:rsid w:val="0055643E"/>
    <w:rsid w:val="00557B65"/>
    <w:rsid w:val="00557BEF"/>
    <w:rsid w:val="00560066"/>
    <w:rsid w:val="005608B3"/>
    <w:rsid w:val="005627CB"/>
    <w:rsid w:val="00562B0A"/>
    <w:rsid w:val="005632E7"/>
    <w:rsid w:val="00563A43"/>
    <w:rsid w:val="0056414E"/>
    <w:rsid w:val="0056499D"/>
    <w:rsid w:val="00565049"/>
    <w:rsid w:val="00565B60"/>
    <w:rsid w:val="005676E1"/>
    <w:rsid w:val="00567E2A"/>
    <w:rsid w:val="00570CC2"/>
    <w:rsid w:val="00570D49"/>
    <w:rsid w:val="00571F19"/>
    <w:rsid w:val="005738A1"/>
    <w:rsid w:val="00573F36"/>
    <w:rsid w:val="00574A8A"/>
    <w:rsid w:val="00575093"/>
    <w:rsid w:val="005753EC"/>
    <w:rsid w:val="0057654D"/>
    <w:rsid w:val="005770D6"/>
    <w:rsid w:val="00577660"/>
    <w:rsid w:val="005805EF"/>
    <w:rsid w:val="005812F6"/>
    <w:rsid w:val="00581412"/>
    <w:rsid w:val="00581CC1"/>
    <w:rsid w:val="00583447"/>
    <w:rsid w:val="00583A7A"/>
    <w:rsid w:val="005840FF"/>
    <w:rsid w:val="0058433A"/>
    <w:rsid w:val="00584387"/>
    <w:rsid w:val="00584808"/>
    <w:rsid w:val="00584F11"/>
    <w:rsid w:val="005859D5"/>
    <w:rsid w:val="005867F3"/>
    <w:rsid w:val="00587904"/>
    <w:rsid w:val="00587FDE"/>
    <w:rsid w:val="005929AC"/>
    <w:rsid w:val="00594160"/>
    <w:rsid w:val="00594D1D"/>
    <w:rsid w:val="00597664"/>
    <w:rsid w:val="005A0093"/>
    <w:rsid w:val="005A036C"/>
    <w:rsid w:val="005A095F"/>
    <w:rsid w:val="005A223A"/>
    <w:rsid w:val="005A30C7"/>
    <w:rsid w:val="005A3D2D"/>
    <w:rsid w:val="005A43BE"/>
    <w:rsid w:val="005A46DA"/>
    <w:rsid w:val="005A5510"/>
    <w:rsid w:val="005A55C0"/>
    <w:rsid w:val="005A5722"/>
    <w:rsid w:val="005A5801"/>
    <w:rsid w:val="005A5E5A"/>
    <w:rsid w:val="005A5F28"/>
    <w:rsid w:val="005A5F8B"/>
    <w:rsid w:val="005A696A"/>
    <w:rsid w:val="005A6A4B"/>
    <w:rsid w:val="005A6E77"/>
    <w:rsid w:val="005A7DE6"/>
    <w:rsid w:val="005B03F4"/>
    <w:rsid w:val="005B0AC1"/>
    <w:rsid w:val="005B2CA3"/>
    <w:rsid w:val="005B3814"/>
    <w:rsid w:val="005B4115"/>
    <w:rsid w:val="005B4C40"/>
    <w:rsid w:val="005B5018"/>
    <w:rsid w:val="005B5118"/>
    <w:rsid w:val="005B5AA9"/>
    <w:rsid w:val="005B5CB2"/>
    <w:rsid w:val="005B673A"/>
    <w:rsid w:val="005B6E57"/>
    <w:rsid w:val="005C0EBB"/>
    <w:rsid w:val="005C24C9"/>
    <w:rsid w:val="005C3512"/>
    <w:rsid w:val="005C4802"/>
    <w:rsid w:val="005C4F64"/>
    <w:rsid w:val="005C5258"/>
    <w:rsid w:val="005C626B"/>
    <w:rsid w:val="005C66F0"/>
    <w:rsid w:val="005C69E0"/>
    <w:rsid w:val="005C6A1A"/>
    <w:rsid w:val="005C6C32"/>
    <w:rsid w:val="005C714C"/>
    <w:rsid w:val="005C7E3E"/>
    <w:rsid w:val="005D003A"/>
    <w:rsid w:val="005D1B32"/>
    <w:rsid w:val="005D2C50"/>
    <w:rsid w:val="005D3D10"/>
    <w:rsid w:val="005D5A73"/>
    <w:rsid w:val="005D64F4"/>
    <w:rsid w:val="005D7611"/>
    <w:rsid w:val="005E1300"/>
    <w:rsid w:val="005E1B9B"/>
    <w:rsid w:val="005E4CF0"/>
    <w:rsid w:val="005E55B4"/>
    <w:rsid w:val="005E7A19"/>
    <w:rsid w:val="005E7DC9"/>
    <w:rsid w:val="005E7E2B"/>
    <w:rsid w:val="005F085D"/>
    <w:rsid w:val="005F08B0"/>
    <w:rsid w:val="005F0A3D"/>
    <w:rsid w:val="005F0CDD"/>
    <w:rsid w:val="005F14CC"/>
    <w:rsid w:val="005F1D88"/>
    <w:rsid w:val="005F240C"/>
    <w:rsid w:val="005F2C05"/>
    <w:rsid w:val="005F3CA7"/>
    <w:rsid w:val="005F4128"/>
    <w:rsid w:val="005F647D"/>
    <w:rsid w:val="005F64B6"/>
    <w:rsid w:val="005F6CE5"/>
    <w:rsid w:val="005F6E41"/>
    <w:rsid w:val="005F7F6A"/>
    <w:rsid w:val="005F7FF9"/>
    <w:rsid w:val="00600FEC"/>
    <w:rsid w:val="0060288D"/>
    <w:rsid w:val="006029D5"/>
    <w:rsid w:val="00602DAE"/>
    <w:rsid w:val="006031C9"/>
    <w:rsid w:val="00603BBE"/>
    <w:rsid w:val="006042AF"/>
    <w:rsid w:val="00604B39"/>
    <w:rsid w:val="00605744"/>
    <w:rsid w:val="00606263"/>
    <w:rsid w:val="00606F56"/>
    <w:rsid w:val="0060736A"/>
    <w:rsid w:val="0061008B"/>
    <w:rsid w:val="006101E9"/>
    <w:rsid w:val="0061164A"/>
    <w:rsid w:val="00612AF4"/>
    <w:rsid w:val="00612FEC"/>
    <w:rsid w:val="00615A10"/>
    <w:rsid w:val="006160DB"/>
    <w:rsid w:val="006162DA"/>
    <w:rsid w:val="00616311"/>
    <w:rsid w:val="00617273"/>
    <w:rsid w:val="006176E3"/>
    <w:rsid w:val="006216BB"/>
    <w:rsid w:val="00624814"/>
    <w:rsid w:val="00624F39"/>
    <w:rsid w:val="00626BAF"/>
    <w:rsid w:val="006300C6"/>
    <w:rsid w:val="00630BFF"/>
    <w:rsid w:val="00630DA0"/>
    <w:rsid w:val="00631B2B"/>
    <w:rsid w:val="006328FD"/>
    <w:rsid w:val="00632AD7"/>
    <w:rsid w:val="00632C3A"/>
    <w:rsid w:val="00634BDC"/>
    <w:rsid w:val="00634C08"/>
    <w:rsid w:val="00635879"/>
    <w:rsid w:val="006359A8"/>
    <w:rsid w:val="00635FF9"/>
    <w:rsid w:val="0063686A"/>
    <w:rsid w:val="00637469"/>
    <w:rsid w:val="00637DD5"/>
    <w:rsid w:val="006409E5"/>
    <w:rsid w:val="006427A1"/>
    <w:rsid w:val="00643058"/>
    <w:rsid w:val="006431E2"/>
    <w:rsid w:val="006431EA"/>
    <w:rsid w:val="00644913"/>
    <w:rsid w:val="006450D2"/>
    <w:rsid w:val="006453CD"/>
    <w:rsid w:val="00646548"/>
    <w:rsid w:val="00646DFD"/>
    <w:rsid w:val="0065049A"/>
    <w:rsid w:val="006515A2"/>
    <w:rsid w:val="00651791"/>
    <w:rsid w:val="00652701"/>
    <w:rsid w:val="006537F9"/>
    <w:rsid w:val="00654485"/>
    <w:rsid w:val="006555CE"/>
    <w:rsid w:val="00655958"/>
    <w:rsid w:val="006574CF"/>
    <w:rsid w:val="00657EA6"/>
    <w:rsid w:val="0066008E"/>
    <w:rsid w:val="00660CEC"/>
    <w:rsid w:val="00661041"/>
    <w:rsid w:val="00661958"/>
    <w:rsid w:val="006629E9"/>
    <w:rsid w:val="0066354F"/>
    <w:rsid w:val="0066427A"/>
    <w:rsid w:val="006645FC"/>
    <w:rsid w:val="0066491D"/>
    <w:rsid w:val="00664AED"/>
    <w:rsid w:val="006657DF"/>
    <w:rsid w:val="006664AF"/>
    <w:rsid w:val="00666DA9"/>
    <w:rsid w:val="00667906"/>
    <w:rsid w:val="00670533"/>
    <w:rsid w:val="00670B47"/>
    <w:rsid w:val="00671177"/>
    <w:rsid w:val="00672725"/>
    <w:rsid w:val="006730CB"/>
    <w:rsid w:val="00673706"/>
    <w:rsid w:val="00673BA0"/>
    <w:rsid w:val="0067437D"/>
    <w:rsid w:val="006749D9"/>
    <w:rsid w:val="00675365"/>
    <w:rsid w:val="00675BC3"/>
    <w:rsid w:val="00675CE8"/>
    <w:rsid w:val="006763ED"/>
    <w:rsid w:val="00677361"/>
    <w:rsid w:val="00677B6A"/>
    <w:rsid w:val="00681308"/>
    <w:rsid w:val="00683489"/>
    <w:rsid w:val="00684BF4"/>
    <w:rsid w:val="0068661D"/>
    <w:rsid w:val="00687085"/>
    <w:rsid w:val="00687562"/>
    <w:rsid w:val="0069035B"/>
    <w:rsid w:val="0069057F"/>
    <w:rsid w:val="00691F20"/>
    <w:rsid w:val="006920E4"/>
    <w:rsid w:val="006927FA"/>
    <w:rsid w:val="00692F7F"/>
    <w:rsid w:val="00694479"/>
    <w:rsid w:val="006949FE"/>
    <w:rsid w:val="00694D3B"/>
    <w:rsid w:val="00697AF5"/>
    <w:rsid w:val="006A0E1D"/>
    <w:rsid w:val="006A13D4"/>
    <w:rsid w:val="006A1986"/>
    <w:rsid w:val="006A1BCE"/>
    <w:rsid w:val="006A2EC5"/>
    <w:rsid w:val="006A3AB2"/>
    <w:rsid w:val="006A4F8B"/>
    <w:rsid w:val="006A5BFD"/>
    <w:rsid w:val="006A5EB3"/>
    <w:rsid w:val="006A62ED"/>
    <w:rsid w:val="006A71BC"/>
    <w:rsid w:val="006A7905"/>
    <w:rsid w:val="006B0115"/>
    <w:rsid w:val="006B1509"/>
    <w:rsid w:val="006B1C2D"/>
    <w:rsid w:val="006B2573"/>
    <w:rsid w:val="006B3793"/>
    <w:rsid w:val="006B486A"/>
    <w:rsid w:val="006B4AE2"/>
    <w:rsid w:val="006B4CE4"/>
    <w:rsid w:val="006B4DB4"/>
    <w:rsid w:val="006B5142"/>
    <w:rsid w:val="006B5874"/>
    <w:rsid w:val="006B5B37"/>
    <w:rsid w:val="006B5D8F"/>
    <w:rsid w:val="006B6D39"/>
    <w:rsid w:val="006C0DC0"/>
    <w:rsid w:val="006C14EC"/>
    <w:rsid w:val="006C1E3E"/>
    <w:rsid w:val="006C252A"/>
    <w:rsid w:val="006C4090"/>
    <w:rsid w:val="006C4509"/>
    <w:rsid w:val="006C4CE8"/>
    <w:rsid w:val="006C6592"/>
    <w:rsid w:val="006C6B35"/>
    <w:rsid w:val="006C6DD6"/>
    <w:rsid w:val="006C75F9"/>
    <w:rsid w:val="006D00F3"/>
    <w:rsid w:val="006D0573"/>
    <w:rsid w:val="006D1856"/>
    <w:rsid w:val="006D1B62"/>
    <w:rsid w:val="006D1F6C"/>
    <w:rsid w:val="006D200D"/>
    <w:rsid w:val="006D3923"/>
    <w:rsid w:val="006D3BFE"/>
    <w:rsid w:val="006D3CF0"/>
    <w:rsid w:val="006D4259"/>
    <w:rsid w:val="006D505C"/>
    <w:rsid w:val="006D511C"/>
    <w:rsid w:val="006D5AEA"/>
    <w:rsid w:val="006D6299"/>
    <w:rsid w:val="006D7F4D"/>
    <w:rsid w:val="006E01C0"/>
    <w:rsid w:val="006E028E"/>
    <w:rsid w:val="006E06D3"/>
    <w:rsid w:val="006E17AB"/>
    <w:rsid w:val="006E1F24"/>
    <w:rsid w:val="006E20DB"/>
    <w:rsid w:val="006E235E"/>
    <w:rsid w:val="006E35E5"/>
    <w:rsid w:val="006E4135"/>
    <w:rsid w:val="006E45D7"/>
    <w:rsid w:val="006E46A2"/>
    <w:rsid w:val="006E49AF"/>
    <w:rsid w:val="006E5940"/>
    <w:rsid w:val="006E6056"/>
    <w:rsid w:val="006E79DD"/>
    <w:rsid w:val="006F22AF"/>
    <w:rsid w:val="006F280F"/>
    <w:rsid w:val="006F2928"/>
    <w:rsid w:val="006F49F1"/>
    <w:rsid w:val="006F4EE7"/>
    <w:rsid w:val="006F4F9E"/>
    <w:rsid w:val="006F52B4"/>
    <w:rsid w:val="006F5403"/>
    <w:rsid w:val="006F620A"/>
    <w:rsid w:val="006F685E"/>
    <w:rsid w:val="006F699D"/>
    <w:rsid w:val="006F6A5A"/>
    <w:rsid w:val="006F702E"/>
    <w:rsid w:val="006F7728"/>
    <w:rsid w:val="006F7B81"/>
    <w:rsid w:val="007001A4"/>
    <w:rsid w:val="007004E3"/>
    <w:rsid w:val="00700665"/>
    <w:rsid w:val="007007B3"/>
    <w:rsid w:val="00700C80"/>
    <w:rsid w:val="00701223"/>
    <w:rsid w:val="00701737"/>
    <w:rsid w:val="00702B8C"/>
    <w:rsid w:val="00703301"/>
    <w:rsid w:val="00704691"/>
    <w:rsid w:val="00707A8E"/>
    <w:rsid w:val="00707FE8"/>
    <w:rsid w:val="00710669"/>
    <w:rsid w:val="00711C99"/>
    <w:rsid w:val="007127E9"/>
    <w:rsid w:val="0071386A"/>
    <w:rsid w:val="00714524"/>
    <w:rsid w:val="00714DCE"/>
    <w:rsid w:val="00715294"/>
    <w:rsid w:val="00716AC1"/>
    <w:rsid w:val="007176A2"/>
    <w:rsid w:val="0072076F"/>
    <w:rsid w:val="00720B82"/>
    <w:rsid w:val="007216A9"/>
    <w:rsid w:val="0072337A"/>
    <w:rsid w:val="00723CB8"/>
    <w:rsid w:val="00724C85"/>
    <w:rsid w:val="00724F12"/>
    <w:rsid w:val="0072582D"/>
    <w:rsid w:val="007263DB"/>
    <w:rsid w:val="0072727F"/>
    <w:rsid w:val="007302B0"/>
    <w:rsid w:val="007309BB"/>
    <w:rsid w:val="007321A7"/>
    <w:rsid w:val="007329CF"/>
    <w:rsid w:val="00734FA7"/>
    <w:rsid w:val="00736A79"/>
    <w:rsid w:val="00736EC8"/>
    <w:rsid w:val="00740110"/>
    <w:rsid w:val="0074163A"/>
    <w:rsid w:val="00743579"/>
    <w:rsid w:val="00744B1D"/>
    <w:rsid w:val="0074521F"/>
    <w:rsid w:val="00746535"/>
    <w:rsid w:val="00746680"/>
    <w:rsid w:val="007467DC"/>
    <w:rsid w:val="00746F78"/>
    <w:rsid w:val="00746FBD"/>
    <w:rsid w:val="007506EC"/>
    <w:rsid w:val="007507C6"/>
    <w:rsid w:val="00750B5A"/>
    <w:rsid w:val="007528B7"/>
    <w:rsid w:val="00752CC5"/>
    <w:rsid w:val="00752DBD"/>
    <w:rsid w:val="0075397C"/>
    <w:rsid w:val="007539D1"/>
    <w:rsid w:val="007559A9"/>
    <w:rsid w:val="00755F40"/>
    <w:rsid w:val="00756903"/>
    <w:rsid w:val="00756A1F"/>
    <w:rsid w:val="00756B67"/>
    <w:rsid w:val="0076010A"/>
    <w:rsid w:val="00760755"/>
    <w:rsid w:val="00760757"/>
    <w:rsid w:val="00761E4E"/>
    <w:rsid w:val="0076200B"/>
    <w:rsid w:val="00763FAE"/>
    <w:rsid w:val="00764131"/>
    <w:rsid w:val="00764577"/>
    <w:rsid w:val="00764C08"/>
    <w:rsid w:val="0076555A"/>
    <w:rsid w:val="007658A3"/>
    <w:rsid w:val="00765DEF"/>
    <w:rsid w:val="007675C5"/>
    <w:rsid w:val="00770E86"/>
    <w:rsid w:val="007716A3"/>
    <w:rsid w:val="00772DA5"/>
    <w:rsid w:val="0077326E"/>
    <w:rsid w:val="00776A2F"/>
    <w:rsid w:val="007771F4"/>
    <w:rsid w:val="00777E5C"/>
    <w:rsid w:val="00781968"/>
    <w:rsid w:val="00781CC0"/>
    <w:rsid w:val="0078229D"/>
    <w:rsid w:val="0078376D"/>
    <w:rsid w:val="0078414E"/>
    <w:rsid w:val="007848C4"/>
    <w:rsid w:val="007861A2"/>
    <w:rsid w:val="007861D8"/>
    <w:rsid w:val="00787320"/>
    <w:rsid w:val="0079085B"/>
    <w:rsid w:val="00790A6B"/>
    <w:rsid w:val="0079137A"/>
    <w:rsid w:val="00792191"/>
    <w:rsid w:val="007924F1"/>
    <w:rsid w:val="007930E5"/>
    <w:rsid w:val="00793DB5"/>
    <w:rsid w:val="00794C16"/>
    <w:rsid w:val="00795062"/>
    <w:rsid w:val="00795AEA"/>
    <w:rsid w:val="00795B32"/>
    <w:rsid w:val="007A0666"/>
    <w:rsid w:val="007A1E7A"/>
    <w:rsid w:val="007A20FB"/>
    <w:rsid w:val="007A3044"/>
    <w:rsid w:val="007A30F3"/>
    <w:rsid w:val="007A5BA1"/>
    <w:rsid w:val="007A6438"/>
    <w:rsid w:val="007A77B8"/>
    <w:rsid w:val="007A78CE"/>
    <w:rsid w:val="007B0573"/>
    <w:rsid w:val="007B1EA5"/>
    <w:rsid w:val="007B2CF3"/>
    <w:rsid w:val="007B2CFC"/>
    <w:rsid w:val="007B3226"/>
    <w:rsid w:val="007B4279"/>
    <w:rsid w:val="007B42A9"/>
    <w:rsid w:val="007B5042"/>
    <w:rsid w:val="007B6FB3"/>
    <w:rsid w:val="007B7301"/>
    <w:rsid w:val="007B754A"/>
    <w:rsid w:val="007C1437"/>
    <w:rsid w:val="007C28A6"/>
    <w:rsid w:val="007C2953"/>
    <w:rsid w:val="007C37B1"/>
    <w:rsid w:val="007C3DE0"/>
    <w:rsid w:val="007C3F25"/>
    <w:rsid w:val="007C4858"/>
    <w:rsid w:val="007C494A"/>
    <w:rsid w:val="007C5994"/>
    <w:rsid w:val="007C5BAD"/>
    <w:rsid w:val="007C704E"/>
    <w:rsid w:val="007C7788"/>
    <w:rsid w:val="007D016D"/>
    <w:rsid w:val="007D1F43"/>
    <w:rsid w:val="007D24E4"/>
    <w:rsid w:val="007D28C0"/>
    <w:rsid w:val="007D3757"/>
    <w:rsid w:val="007D3C0A"/>
    <w:rsid w:val="007D3ECD"/>
    <w:rsid w:val="007D5103"/>
    <w:rsid w:val="007D6397"/>
    <w:rsid w:val="007D6DB6"/>
    <w:rsid w:val="007D72BD"/>
    <w:rsid w:val="007D7FBC"/>
    <w:rsid w:val="007E0381"/>
    <w:rsid w:val="007E06A9"/>
    <w:rsid w:val="007E0865"/>
    <w:rsid w:val="007E09E0"/>
    <w:rsid w:val="007E0D93"/>
    <w:rsid w:val="007E102A"/>
    <w:rsid w:val="007E1201"/>
    <w:rsid w:val="007E1DA8"/>
    <w:rsid w:val="007E232A"/>
    <w:rsid w:val="007E3B4A"/>
    <w:rsid w:val="007E4087"/>
    <w:rsid w:val="007E5473"/>
    <w:rsid w:val="007E5CD2"/>
    <w:rsid w:val="007E6159"/>
    <w:rsid w:val="007E6F54"/>
    <w:rsid w:val="007E7434"/>
    <w:rsid w:val="007F00D6"/>
    <w:rsid w:val="007F02C3"/>
    <w:rsid w:val="007F1728"/>
    <w:rsid w:val="007F192E"/>
    <w:rsid w:val="007F1ECE"/>
    <w:rsid w:val="007F2D5B"/>
    <w:rsid w:val="007F3861"/>
    <w:rsid w:val="007F3AF8"/>
    <w:rsid w:val="007F3BCB"/>
    <w:rsid w:val="007F420A"/>
    <w:rsid w:val="007F43F4"/>
    <w:rsid w:val="007F4820"/>
    <w:rsid w:val="007F6829"/>
    <w:rsid w:val="007F70B7"/>
    <w:rsid w:val="007F73BA"/>
    <w:rsid w:val="00800045"/>
    <w:rsid w:val="008000AA"/>
    <w:rsid w:val="00800CCB"/>
    <w:rsid w:val="0080187D"/>
    <w:rsid w:val="00801890"/>
    <w:rsid w:val="00801919"/>
    <w:rsid w:val="00801D41"/>
    <w:rsid w:val="00804268"/>
    <w:rsid w:val="008044D8"/>
    <w:rsid w:val="008048A7"/>
    <w:rsid w:val="00810E8B"/>
    <w:rsid w:val="00812808"/>
    <w:rsid w:val="00813CC5"/>
    <w:rsid w:val="00814456"/>
    <w:rsid w:val="00814996"/>
    <w:rsid w:val="00816615"/>
    <w:rsid w:val="008203E2"/>
    <w:rsid w:val="00820725"/>
    <w:rsid w:val="00820AC3"/>
    <w:rsid w:val="00821DA9"/>
    <w:rsid w:val="008237AD"/>
    <w:rsid w:val="00825042"/>
    <w:rsid w:val="008252F0"/>
    <w:rsid w:val="00825B6E"/>
    <w:rsid w:val="00826904"/>
    <w:rsid w:val="00830E3E"/>
    <w:rsid w:val="0083106E"/>
    <w:rsid w:val="0083163A"/>
    <w:rsid w:val="008324D1"/>
    <w:rsid w:val="008336DA"/>
    <w:rsid w:val="00833849"/>
    <w:rsid w:val="00834152"/>
    <w:rsid w:val="008358BB"/>
    <w:rsid w:val="00835AFC"/>
    <w:rsid w:val="00836223"/>
    <w:rsid w:val="008370F3"/>
    <w:rsid w:val="00837310"/>
    <w:rsid w:val="00837BF2"/>
    <w:rsid w:val="00837E42"/>
    <w:rsid w:val="00837EFE"/>
    <w:rsid w:val="008401C0"/>
    <w:rsid w:val="0084028C"/>
    <w:rsid w:val="00840836"/>
    <w:rsid w:val="008409BE"/>
    <w:rsid w:val="008412FF"/>
    <w:rsid w:val="00842431"/>
    <w:rsid w:val="00843E55"/>
    <w:rsid w:val="00844415"/>
    <w:rsid w:val="00844F54"/>
    <w:rsid w:val="00845601"/>
    <w:rsid w:val="008463D2"/>
    <w:rsid w:val="008475D0"/>
    <w:rsid w:val="00847F75"/>
    <w:rsid w:val="008509F2"/>
    <w:rsid w:val="008539F5"/>
    <w:rsid w:val="00853BDB"/>
    <w:rsid w:val="0085476D"/>
    <w:rsid w:val="00854BBD"/>
    <w:rsid w:val="008551A3"/>
    <w:rsid w:val="00855373"/>
    <w:rsid w:val="0085538A"/>
    <w:rsid w:val="00855DC1"/>
    <w:rsid w:val="00856209"/>
    <w:rsid w:val="00857185"/>
    <w:rsid w:val="008572EF"/>
    <w:rsid w:val="008576EF"/>
    <w:rsid w:val="00857CB3"/>
    <w:rsid w:val="008605D8"/>
    <w:rsid w:val="008616C1"/>
    <w:rsid w:val="00862132"/>
    <w:rsid w:val="00862E6F"/>
    <w:rsid w:val="00863672"/>
    <w:rsid w:val="00863A25"/>
    <w:rsid w:val="00863A37"/>
    <w:rsid w:val="00864FDA"/>
    <w:rsid w:val="00865AAC"/>
    <w:rsid w:val="00866098"/>
    <w:rsid w:val="00866E19"/>
    <w:rsid w:val="00867414"/>
    <w:rsid w:val="00867DC6"/>
    <w:rsid w:val="00867E9A"/>
    <w:rsid w:val="00870054"/>
    <w:rsid w:val="00870245"/>
    <w:rsid w:val="008706CB"/>
    <w:rsid w:val="00870E5F"/>
    <w:rsid w:val="008713A8"/>
    <w:rsid w:val="008721C7"/>
    <w:rsid w:val="008746C5"/>
    <w:rsid w:val="00874A43"/>
    <w:rsid w:val="0087570F"/>
    <w:rsid w:val="00881406"/>
    <w:rsid w:val="00883719"/>
    <w:rsid w:val="0088378C"/>
    <w:rsid w:val="00883C4B"/>
    <w:rsid w:val="008868C9"/>
    <w:rsid w:val="00886931"/>
    <w:rsid w:val="00886BE1"/>
    <w:rsid w:val="008873C9"/>
    <w:rsid w:val="00887A0E"/>
    <w:rsid w:val="00887CDD"/>
    <w:rsid w:val="008905B1"/>
    <w:rsid w:val="0089128A"/>
    <w:rsid w:val="00891487"/>
    <w:rsid w:val="0089177C"/>
    <w:rsid w:val="00892D57"/>
    <w:rsid w:val="00894686"/>
    <w:rsid w:val="008949AA"/>
    <w:rsid w:val="00894F32"/>
    <w:rsid w:val="00895DA4"/>
    <w:rsid w:val="008975CD"/>
    <w:rsid w:val="008A0827"/>
    <w:rsid w:val="008A0DF4"/>
    <w:rsid w:val="008A0F2C"/>
    <w:rsid w:val="008A1003"/>
    <w:rsid w:val="008A15FF"/>
    <w:rsid w:val="008A1BEF"/>
    <w:rsid w:val="008A29AF"/>
    <w:rsid w:val="008A30EE"/>
    <w:rsid w:val="008A3ED9"/>
    <w:rsid w:val="008A4803"/>
    <w:rsid w:val="008A5F51"/>
    <w:rsid w:val="008A651B"/>
    <w:rsid w:val="008A6D84"/>
    <w:rsid w:val="008A7B9E"/>
    <w:rsid w:val="008A7F7C"/>
    <w:rsid w:val="008B0E8D"/>
    <w:rsid w:val="008B196A"/>
    <w:rsid w:val="008B2A90"/>
    <w:rsid w:val="008B3895"/>
    <w:rsid w:val="008B4769"/>
    <w:rsid w:val="008B55F4"/>
    <w:rsid w:val="008B59D9"/>
    <w:rsid w:val="008B69FC"/>
    <w:rsid w:val="008B6C0D"/>
    <w:rsid w:val="008B6CC2"/>
    <w:rsid w:val="008B712F"/>
    <w:rsid w:val="008C1E5A"/>
    <w:rsid w:val="008C2678"/>
    <w:rsid w:val="008C2E28"/>
    <w:rsid w:val="008C3B67"/>
    <w:rsid w:val="008C435E"/>
    <w:rsid w:val="008C48ED"/>
    <w:rsid w:val="008C54FA"/>
    <w:rsid w:val="008C62C7"/>
    <w:rsid w:val="008D0358"/>
    <w:rsid w:val="008D04B3"/>
    <w:rsid w:val="008D06BC"/>
    <w:rsid w:val="008D0CE8"/>
    <w:rsid w:val="008D0D22"/>
    <w:rsid w:val="008D1769"/>
    <w:rsid w:val="008D1A63"/>
    <w:rsid w:val="008D2F86"/>
    <w:rsid w:val="008D2FB0"/>
    <w:rsid w:val="008D4753"/>
    <w:rsid w:val="008D49FC"/>
    <w:rsid w:val="008D5C9A"/>
    <w:rsid w:val="008D6799"/>
    <w:rsid w:val="008D7D55"/>
    <w:rsid w:val="008E0225"/>
    <w:rsid w:val="008E0FF8"/>
    <w:rsid w:val="008E3700"/>
    <w:rsid w:val="008E4C26"/>
    <w:rsid w:val="008E54DE"/>
    <w:rsid w:val="008E5BFE"/>
    <w:rsid w:val="008E6965"/>
    <w:rsid w:val="008E6DDE"/>
    <w:rsid w:val="008E6EAF"/>
    <w:rsid w:val="008E75EF"/>
    <w:rsid w:val="008F0342"/>
    <w:rsid w:val="008F0B25"/>
    <w:rsid w:val="008F0CA3"/>
    <w:rsid w:val="008F1477"/>
    <w:rsid w:val="008F1506"/>
    <w:rsid w:val="008F23CC"/>
    <w:rsid w:val="008F44A6"/>
    <w:rsid w:val="008F4570"/>
    <w:rsid w:val="008F4C09"/>
    <w:rsid w:val="008F4C89"/>
    <w:rsid w:val="008F52E4"/>
    <w:rsid w:val="008F5807"/>
    <w:rsid w:val="008F7C53"/>
    <w:rsid w:val="0090027F"/>
    <w:rsid w:val="00900285"/>
    <w:rsid w:val="00900380"/>
    <w:rsid w:val="0090092A"/>
    <w:rsid w:val="00900FA9"/>
    <w:rsid w:val="009022AC"/>
    <w:rsid w:val="00902CC4"/>
    <w:rsid w:val="00904284"/>
    <w:rsid w:val="00904644"/>
    <w:rsid w:val="00904C08"/>
    <w:rsid w:val="00904F08"/>
    <w:rsid w:val="009059FF"/>
    <w:rsid w:val="00905A9D"/>
    <w:rsid w:val="0090687C"/>
    <w:rsid w:val="0090767C"/>
    <w:rsid w:val="009079EA"/>
    <w:rsid w:val="00907E76"/>
    <w:rsid w:val="00910285"/>
    <w:rsid w:val="00910789"/>
    <w:rsid w:val="00910B9E"/>
    <w:rsid w:val="0091116D"/>
    <w:rsid w:val="009125A1"/>
    <w:rsid w:val="0091367D"/>
    <w:rsid w:val="00913FCE"/>
    <w:rsid w:val="00915A73"/>
    <w:rsid w:val="009168BD"/>
    <w:rsid w:val="009179CF"/>
    <w:rsid w:val="00920AC9"/>
    <w:rsid w:val="00921A3E"/>
    <w:rsid w:val="00921C75"/>
    <w:rsid w:val="00923BD1"/>
    <w:rsid w:val="009242DD"/>
    <w:rsid w:val="009243A4"/>
    <w:rsid w:val="009244B9"/>
    <w:rsid w:val="009248CC"/>
    <w:rsid w:val="0092491E"/>
    <w:rsid w:val="00924F36"/>
    <w:rsid w:val="00925DF9"/>
    <w:rsid w:val="00925E2B"/>
    <w:rsid w:val="0092701F"/>
    <w:rsid w:val="009273C9"/>
    <w:rsid w:val="00927B0C"/>
    <w:rsid w:val="00930423"/>
    <w:rsid w:val="00930489"/>
    <w:rsid w:val="009315C6"/>
    <w:rsid w:val="00932252"/>
    <w:rsid w:val="009338C8"/>
    <w:rsid w:val="00935734"/>
    <w:rsid w:val="00935EC6"/>
    <w:rsid w:val="00936DAF"/>
    <w:rsid w:val="00940080"/>
    <w:rsid w:val="0094064A"/>
    <w:rsid w:val="00940A30"/>
    <w:rsid w:val="00941083"/>
    <w:rsid w:val="00941DB4"/>
    <w:rsid w:val="009424C5"/>
    <w:rsid w:val="009426E9"/>
    <w:rsid w:val="00942A05"/>
    <w:rsid w:val="009435D6"/>
    <w:rsid w:val="00945B30"/>
    <w:rsid w:val="009501A6"/>
    <w:rsid w:val="00950226"/>
    <w:rsid w:val="00950911"/>
    <w:rsid w:val="0095126F"/>
    <w:rsid w:val="009522AE"/>
    <w:rsid w:val="0095432C"/>
    <w:rsid w:val="009546B5"/>
    <w:rsid w:val="009565B9"/>
    <w:rsid w:val="00957680"/>
    <w:rsid w:val="00960DA0"/>
    <w:rsid w:val="00961F38"/>
    <w:rsid w:val="00962976"/>
    <w:rsid w:val="00964CAC"/>
    <w:rsid w:val="0096637C"/>
    <w:rsid w:val="009673C6"/>
    <w:rsid w:val="00967585"/>
    <w:rsid w:val="00970242"/>
    <w:rsid w:val="00970750"/>
    <w:rsid w:val="00970DB8"/>
    <w:rsid w:val="00971DB1"/>
    <w:rsid w:val="009720CE"/>
    <w:rsid w:val="00973143"/>
    <w:rsid w:val="00973500"/>
    <w:rsid w:val="00974049"/>
    <w:rsid w:val="00976102"/>
    <w:rsid w:val="00977D88"/>
    <w:rsid w:val="0098210F"/>
    <w:rsid w:val="009838D5"/>
    <w:rsid w:val="009845D7"/>
    <w:rsid w:val="009845E6"/>
    <w:rsid w:val="00985325"/>
    <w:rsid w:val="00985D01"/>
    <w:rsid w:val="009865EF"/>
    <w:rsid w:val="00987034"/>
    <w:rsid w:val="00987C40"/>
    <w:rsid w:val="00990617"/>
    <w:rsid w:val="009907E4"/>
    <w:rsid w:val="00990FA1"/>
    <w:rsid w:val="009913AF"/>
    <w:rsid w:val="00991810"/>
    <w:rsid w:val="0099201D"/>
    <w:rsid w:val="00993F3E"/>
    <w:rsid w:val="00995653"/>
    <w:rsid w:val="0099612F"/>
    <w:rsid w:val="00996AED"/>
    <w:rsid w:val="00996B6A"/>
    <w:rsid w:val="0099744C"/>
    <w:rsid w:val="00997AAA"/>
    <w:rsid w:val="009A083D"/>
    <w:rsid w:val="009A0EC1"/>
    <w:rsid w:val="009A135F"/>
    <w:rsid w:val="009A1F97"/>
    <w:rsid w:val="009A2633"/>
    <w:rsid w:val="009A3AE0"/>
    <w:rsid w:val="009A496E"/>
    <w:rsid w:val="009A6314"/>
    <w:rsid w:val="009A666A"/>
    <w:rsid w:val="009A70F8"/>
    <w:rsid w:val="009A75CC"/>
    <w:rsid w:val="009B0471"/>
    <w:rsid w:val="009B067A"/>
    <w:rsid w:val="009B1455"/>
    <w:rsid w:val="009B17A6"/>
    <w:rsid w:val="009B4061"/>
    <w:rsid w:val="009B512B"/>
    <w:rsid w:val="009B5AD3"/>
    <w:rsid w:val="009B62F3"/>
    <w:rsid w:val="009B69D5"/>
    <w:rsid w:val="009B7191"/>
    <w:rsid w:val="009B7C00"/>
    <w:rsid w:val="009C0A8A"/>
    <w:rsid w:val="009C10B4"/>
    <w:rsid w:val="009C1342"/>
    <w:rsid w:val="009C1AA8"/>
    <w:rsid w:val="009C1C97"/>
    <w:rsid w:val="009C2FA2"/>
    <w:rsid w:val="009C4F35"/>
    <w:rsid w:val="009C5704"/>
    <w:rsid w:val="009C5967"/>
    <w:rsid w:val="009C5AA4"/>
    <w:rsid w:val="009C6352"/>
    <w:rsid w:val="009D1574"/>
    <w:rsid w:val="009D16C7"/>
    <w:rsid w:val="009D19AF"/>
    <w:rsid w:val="009D19E0"/>
    <w:rsid w:val="009D1C82"/>
    <w:rsid w:val="009D1CF3"/>
    <w:rsid w:val="009D2802"/>
    <w:rsid w:val="009D6690"/>
    <w:rsid w:val="009D6779"/>
    <w:rsid w:val="009D7555"/>
    <w:rsid w:val="009E0BF1"/>
    <w:rsid w:val="009E19C9"/>
    <w:rsid w:val="009E22E4"/>
    <w:rsid w:val="009E3B7C"/>
    <w:rsid w:val="009E4237"/>
    <w:rsid w:val="009E53F1"/>
    <w:rsid w:val="009E705B"/>
    <w:rsid w:val="009E73C9"/>
    <w:rsid w:val="009E771A"/>
    <w:rsid w:val="009F06DB"/>
    <w:rsid w:val="009F12E5"/>
    <w:rsid w:val="009F20E5"/>
    <w:rsid w:val="009F3807"/>
    <w:rsid w:val="009F4154"/>
    <w:rsid w:val="009F449B"/>
    <w:rsid w:val="009F4A91"/>
    <w:rsid w:val="009F4DB0"/>
    <w:rsid w:val="009F4E23"/>
    <w:rsid w:val="009F6560"/>
    <w:rsid w:val="009F7AF8"/>
    <w:rsid w:val="00A0109A"/>
    <w:rsid w:val="00A03500"/>
    <w:rsid w:val="00A04C5D"/>
    <w:rsid w:val="00A04FFC"/>
    <w:rsid w:val="00A067EF"/>
    <w:rsid w:val="00A069B7"/>
    <w:rsid w:val="00A07031"/>
    <w:rsid w:val="00A07210"/>
    <w:rsid w:val="00A0741D"/>
    <w:rsid w:val="00A0745E"/>
    <w:rsid w:val="00A074FE"/>
    <w:rsid w:val="00A1029F"/>
    <w:rsid w:val="00A1030F"/>
    <w:rsid w:val="00A118C6"/>
    <w:rsid w:val="00A11B11"/>
    <w:rsid w:val="00A14CEB"/>
    <w:rsid w:val="00A14FAF"/>
    <w:rsid w:val="00A15338"/>
    <w:rsid w:val="00A153E5"/>
    <w:rsid w:val="00A159FD"/>
    <w:rsid w:val="00A17EB8"/>
    <w:rsid w:val="00A17FF7"/>
    <w:rsid w:val="00A21256"/>
    <w:rsid w:val="00A21C84"/>
    <w:rsid w:val="00A22AE2"/>
    <w:rsid w:val="00A22B42"/>
    <w:rsid w:val="00A22DC3"/>
    <w:rsid w:val="00A233A2"/>
    <w:rsid w:val="00A24128"/>
    <w:rsid w:val="00A24EF2"/>
    <w:rsid w:val="00A25006"/>
    <w:rsid w:val="00A26C2C"/>
    <w:rsid w:val="00A27EC5"/>
    <w:rsid w:val="00A27EF0"/>
    <w:rsid w:val="00A27FA2"/>
    <w:rsid w:val="00A301F1"/>
    <w:rsid w:val="00A307ED"/>
    <w:rsid w:val="00A3208C"/>
    <w:rsid w:val="00A32B84"/>
    <w:rsid w:val="00A32D11"/>
    <w:rsid w:val="00A33728"/>
    <w:rsid w:val="00A3407D"/>
    <w:rsid w:val="00A34AE4"/>
    <w:rsid w:val="00A34F21"/>
    <w:rsid w:val="00A35C7C"/>
    <w:rsid w:val="00A3608C"/>
    <w:rsid w:val="00A36B2E"/>
    <w:rsid w:val="00A370E9"/>
    <w:rsid w:val="00A4000A"/>
    <w:rsid w:val="00A40413"/>
    <w:rsid w:val="00A4077F"/>
    <w:rsid w:val="00A42C47"/>
    <w:rsid w:val="00A432D2"/>
    <w:rsid w:val="00A438BB"/>
    <w:rsid w:val="00A43C2D"/>
    <w:rsid w:val="00A44D17"/>
    <w:rsid w:val="00A45222"/>
    <w:rsid w:val="00A47686"/>
    <w:rsid w:val="00A500A7"/>
    <w:rsid w:val="00A508F9"/>
    <w:rsid w:val="00A50A6B"/>
    <w:rsid w:val="00A50CAB"/>
    <w:rsid w:val="00A52165"/>
    <w:rsid w:val="00A52C93"/>
    <w:rsid w:val="00A53339"/>
    <w:rsid w:val="00A53AF7"/>
    <w:rsid w:val="00A54349"/>
    <w:rsid w:val="00A54B1F"/>
    <w:rsid w:val="00A5568D"/>
    <w:rsid w:val="00A55ADA"/>
    <w:rsid w:val="00A55FD6"/>
    <w:rsid w:val="00A56988"/>
    <w:rsid w:val="00A56AEB"/>
    <w:rsid w:val="00A56D97"/>
    <w:rsid w:val="00A57138"/>
    <w:rsid w:val="00A57911"/>
    <w:rsid w:val="00A60288"/>
    <w:rsid w:val="00A6053F"/>
    <w:rsid w:val="00A60C11"/>
    <w:rsid w:val="00A60D25"/>
    <w:rsid w:val="00A60FA0"/>
    <w:rsid w:val="00A610C8"/>
    <w:rsid w:val="00A61141"/>
    <w:rsid w:val="00A6117B"/>
    <w:rsid w:val="00A6120D"/>
    <w:rsid w:val="00A616C0"/>
    <w:rsid w:val="00A618C5"/>
    <w:rsid w:val="00A61C05"/>
    <w:rsid w:val="00A61D13"/>
    <w:rsid w:val="00A620EC"/>
    <w:rsid w:val="00A626FE"/>
    <w:rsid w:val="00A62D9A"/>
    <w:rsid w:val="00A62F07"/>
    <w:rsid w:val="00A6328A"/>
    <w:rsid w:val="00A6331D"/>
    <w:rsid w:val="00A639EF"/>
    <w:rsid w:val="00A65A26"/>
    <w:rsid w:val="00A660B8"/>
    <w:rsid w:val="00A66299"/>
    <w:rsid w:val="00A71CDF"/>
    <w:rsid w:val="00A72578"/>
    <w:rsid w:val="00A73DED"/>
    <w:rsid w:val="00A73E57"/>
    <w:rsid w:val="00A744D3"/>
    <w:rsid w:val="00A75993"/>
    <w:rsid w:val="00A75A93"/>
    <w:rsid w:val="00A75C39"/>
    <w:rsid w:val="00A76C09"/>
    <w:rsid w:val="00A777C2"/>
    <w:rsid w:val="00A80530"/>
    <w:rsid w:val="00A80C76"/>
    <w:rsid w:val="00A80CBB"/>
    <w:rsid w:val="00A8167E"/>
    <w:rsid w:val="00A822A2"/>
    <w:rsid w:val="00A83201"/>
    <w:rsid w:val="00A86366"/>
    <w:rsid w:val="00A868E3"/>
    <w:rsid w:val="00A86912"/>
    <w:rsid w:val="00A86B66"/>
    <w:rsid w:val="00A86D07"/>
    <w:rsid w:val="00A87330"/>
    <w:rsid w:val="00A877D3"/>
    <w:rsid w:val="00A87D77"/>
    <w:rsid w:val="00A90458"/>
    <w:rsid w:val="00A90759"/>
    <w:rsid w:val="00A91F67"/>
    <w:rsid w:val="00A92890"/>
    <w:rsid w:val="00A92B84"/>
    <w:rsid w:val="00A92BA5"/>
    <w:rsid w:val="00A92C47"/>
    <w:rsid w:val="00A92DF2"/>
    <w:rsid w:val="00A93218"/>
    <w:rsid w:val="00A96419"/>
    <w:rsid w:val="00A96DAA"/>
    <w:rsid w:val="00A97C03"/>
    <w:rsid w:val="00A97E59"/>
    <w:rsid w:val="00AA0241"/>
    <w:rsid w:val="00AA06DA"/>
    <w:rsid w:val="00AA2DA2"/>
    <w:rsid w:val="00AA2EFF"/>
    <w:rsid w:val="00AA34A3"/>
    <w:rsid w:val="00AA3A42"/>
    <w:rsid w:val="00AA644C"/>
    <w:rsid w:val="00AA7B05"/>
    <w:rsid w:val="00AB156C"/>
    <w:rsid w:val="00AB2BC4"/>
    <w:rsid w:val="00AB3221"/>
    <w:rsid w:val="00AB346C"/>
    <w:rsid w:val="00AB3641"/>
    <w:rsid w:val="00AB5017"/>
    <w:rsid w:val="00AB5166"/>
    <w:rsid w:val="00AB62B8"/>
    <w:rsid w:val="00AB6EE2"/>
    <w:rsid w:val="00AB729F"/>
    <w:rsid w:val="00AB740D"/>
    <w:rsid w:val="00AB7DF5"/>
    <w:rsid w:val="00AC03BC"/>
    <w:rsid w:val="00AC040A"/>
    <w:rsid w:val="00AC0CEC"/>
    <w:rsid w:val="00AC25BA"/>
    <w:rsid w:val="00AC2B90"/>
    <w:rsid w:val="00AC5443"/>
    <w:rsid w:val="00AC779F"/>
    <w:rsid w:val="00AD4407"/>
    <w:rsid w:val="00AD4771"/>
    <w:rsid w:val="00AD4E71"/>
    <w:rsid w:val="00AD5689"/>
    <w:rsid w:val="00AD5AA5"/>
    <w:rsid w:val="00AD5F5E"/>
    <w:rsid w:val="00AD608C"/>
    <w:rsid w:val="00AD6B22"/>
    <w:rsid w:val="00AD6F87"/>
    <w:rsid w:val="00AD71F5"/>
    <w:rsid w:val="00AD7367"/>
    <w:rsid w:val="00AE0327"/>
    <w:rsid w:val="00AE106E"/>
    <w:rsid w:val="00AE1202"/>
    <w:rsid w:val="00AE1FC1"/>
    <w:rsid w:val="00AE2481"/>
    <w:rsid w:val="00AE28E4"/>
    <w:rsid w:val="00AE36E3"/>
    <w:rsid w:val="00AE379E"/>
    <w:rsid w:val="00AE3E2B"/>
    <w:rsid w:val="00AE3E56"/>
    <w:rsid w:val="00AE5C8C"/>
    <w:rsid w:val="00AE6AA2"/>
    <w:rsid w:val="00AE7236"/>
    <w:rsid w:val="00AE72FD"/>
    <w:rsid w:val="00AE7FDC"/>
    <w:rsid w:val="00AF0A3B"/>
    <w:rsid w:val="00AF0EAB"/>
    <w:rsid w:val="00AF11C1"/>
    <w:rsid w:val="00AF131B"/>
    <w:rsid w:val="00AF2CEB"/>
    <w:rsid w:val="00AF34FC"/>
    <w:rsid w:val="00AF3611"/>
    <w:rsid w:val="00AF3780"/>
    <w:rsid w:val="00AF3AFD"/>
    <w:rsid w:val="00AF4C38"/>
    <w:rsid w:val="00AF7A50"/>
    <w:rsid w:val="00B004DA"/>
    <w:rsid w:val="00B00BFA"/>
    <w:rsid w:val="00B02266"/>
    <w:rsid w:val="00B04355"/>
    <w:rsid w:val="00B04A04"/>
    <w:rsid w:val="00B06359"/>
    <w:rsid w:val="00B06897"/>
    <w:rsid w:val="00B071CD"/>
    <w:rsid w:val="00B10991"/>
    <w:rsid w:val="00B10FBF"/>
    <w:rsid w:val="00B11D38"/>
    <w:rsid w:val="00B12907"/>
    <w:rsid w:val="00B12D0D"/>
    <w:rsid w:val="00B12E70"/>
    <w:rsid w:val="00B1308B"/>
    <w:rsid w:val="00B136E1"/>
    <w:rsid w:val="00B13851"/>
    <w:rsid w:val="00B139E7"/>
    <w:rsid w:val="00B14771"/>
    <w:rsid w:val="00B153F0"/>
    <w:rsid w:val="00B15555"/>
    <w:rsid w:val="00B16A7D"/>
    <w:rsid w:val="00B17564"/>
    <w:rsid w:val="00B17BE2"/>
    <w:rsid w:val="00B22725"/>
    <w:rsid w:val="00B2360F"/>
    <w:rsid w:val="00B2419B"/>
    <w:rsid w:val="00B24870"/>
    <w:rsid w:val="00B24A86"/>
    <w:rsid w:val="00B251C1"/>
    <w:rsid w:val="00B252B2"/>
    <w:rsid w:val="00B259C0"/>
    <w:rsid w:val="00B26230"/>
    <w:rsid w:val="00B26425"/>
    <w:rsid w:val="00B26813"/>
    <w:rsid w:val="00B26FBA"/>
    <w:rsid w:val="00B2702F"/>
    <w:rsid w:val="00B275F5"/>
    <w:rsid w:val="00B27B4C"/>
    <w:rsid w:val="00B30D23"/>
    <w:rsid w:val="00B31977"/>
    <w:rsid w:val="00B31B9C"/>
    <w:rsid w:val="00B377D7"/>
    <w:rsid w:val="00B40B78"/>
    <w:rsid w:val="00B4180B"/>
    <w:rsid w:val="00B41B8A"/>
    <w:rsid w:val="00B42F1F"/>
    <w:rsid w:val="00B447CF"/>
    <w:rsid w:val="00B458D3"/>
    <w:rsid w:val="00B45DD9"/>
    <w:rsid w:val="00B46519"/>
    <w:rsid w:val="00B473C0"/>
    <w:rsid w:val="00B4776E"/>
    <w:rsid w:val="00B477A0"/>
    <w:rsid w:val="00B477F3"/>
    <w:rsid w:val="00B50295"/>
    <w:rsid w:val="00B51CAD"/>
    <w:rsid w:val="00B526FA"/>
    <w:rsid w:val="00B52E89"/>
    <w:rsid w:val="00B54A2D"/>
    <w:rsid w:val="00B55D6A"/>
    <w:rsid w:val="00B5626D"/>
    <w:rsid w:val="00B57049"/>
    <w:rsid w:val="00B57782"/>
    <w:rsid w:val="00B600B5"/>
    <w:rsid w:val="00B603CE"/>
    <w:rsid w:val="00B61C26"/>
    <w:rsid w:val="00B61EAE"/>
    <w:rsid w:val="00B6207B"/>
    <w:rsid w:val="00B627ED"/>
    <w:rsid w:val="00B62849"/>
    <w:rsid w:val="00B62EC7"/>
    <w:rsid w:val="00B639A2"/>
    <w:rsid w:val="00B648C6"/>
    <w:rsid w:val="00B6535F"/>
    <w:rsid w:val="00B65442"/>
    <w:rsid w:val="00B66C4D"/>
    <w:rsid w:val="00B66CCD"/>
    <w:rsid w:val="00B678F8"/>
    <w:rsid w:val="00B67DF9"/>
    <w:rsid w:val="00B7098E"/>
    <w:rsid w:val="00B7136A"/>
    <w:rsid w:val="00B715F1"/>
    <w:rsid w:val="00B716F1"/>
    <w:rsid w:val="00B7171B"/>
    <w:rsid w:val="00B71E33"/>
    <w:rsid w:val="00B72B37"/>
    <w:rsid w:val="00B72C39"/>
    <w:rsid w:val="00B73867"/>
    <w:rsid w:val="00B73CDE"/>
    <w:rsid w:val="00B73E78"/>
    <w:rsid w:val="00B752E6"/>
    <w:rsid w:val="00B757AA"/>
    <w:rsid w:val="00B77841"/>
    <w:rsid w:val="00B812A0"/>
    <w:rsid w:val="00B82958"/>
    <w:rsid w:val="00B838D3"/>
    <w:rsid w:val="00B8474E"/>
    <w:rsid w:val="00B8506A"/>
    <w:rsid w:val="00B861AB"/>
    <w:rsid w:val="00B87121"/>
    <w:rsid w:val="00B87291"/>
    <w:rsid w:val="00B90278"/>
    <w:rsid w:val="00B90BCD"/>
    <w:rsid w:val="00B90D29"/>
    <w:rsid w:val="00B92964"/>
    <w:rsid w:val="00B943EA"/>
    <w:rsid w:val="00B94733"/>
    <w:rsid w:val="00B94A92"/>
    <w:rsid w:val="00B962A4"/>
    <w:rsid w:val="00B97BC4"/>
    <w:rsid w:val="00B97CD0"/>
    <w:rsid w:val="00B97F5B"/>
    <w:rsid w:val="00BA04B8"/>
    <w:rsid w:val="00BA05D0"/>
    <w:rsid w:val="00BA0E21"/>
    <w:rsid w:val="00BA18A2"/>
    <w:rsid w:val="00BA1985"/>
    <w:rsid w:val="00BA1DEB"/>
    <w:rsid w:val="00BA1FC2"/>
    <w:rsid w:val="00BA2C60"/>
    <w:rsid w:val="00BA3DEB"/>
    <w:rsid w:val="00BA7E99"/>
    <w:rsid w:val="00BB149A"/>
    <w:rsid w:val="00BB1ADB"/>
    <w:rsid w:val="00BB1B71"/>
    <w:rsid w:val="00BB1E76"/>
    <w:rsid w:val="00BB2993"/>
    <w:rsid w:val="00BB322E"/>
    <w:rsid w:val="00BB387F"/>
    <w:rsid w:val="00BB3E6A"/>
    <w:rsid w:val="00BB496A"/>
    <w:rsid w:val="00BB4C49"/>
    <w:rsid w:val="00BB5106"/>
    <w:rsid w:val="00BB590C"/>
    <w:rsid w:val="00BB621E"/>
    <w:rsid w:val="00BB661D"/>
    <w:rsid w:val="00BB6A8D"/>
    <w:rsid w:val="00BB70E1"/>
    <w:rsid w:val="00BB7142"/>
    <w:rsid w:val="00BB7E08"/>
    <w:rsid w:val="00BC0036"/>
    <w:rsid w:val="00BC0304"/>
    <w:rsid w:val="00BC04D0"/>
    <w:rsid w:val="00BC053F"/>
    <w:rsid w:val="00BC1309"/>
    <w:rsid w:val="00BC1A9A"/>
    <w:rsid w:val="00BC1E28"/>
    <w:rsid w:val="00BC3468"/>
    <w:rsid w:val="00BC3C44"/>
    <w:rsid w:val="00BC4598"/>
    <w:rsid w:val="00BC4A8D"/>
    <w:rsid w:val="00BC5DAC"/>
    <w:rsid w:val="00BC5DE4"/>
    <w:rsid w:val="00BC5ED8"/>
    <w:rsid w:val="00BC6782"/>
    <w:rsid w:val="00BC773D"/>
    <w:rsid w:val="00BC7C99"/>
    <w:rsid w:val="00BD04E4"/>
    <w:rsid w:val="00BD12DB"/>
    <w:rsid w:val="00BD19B9"/>
    <w:rsid w:val="00BD1CC3"/>
    <w:rsid w:val="00BD23A1"/>
    <w:rsid w:val="00BD3630"/>
    <w:rsid w:val="00BD47A8"/>
    <w:rsid w:val="00BD4A2E"/>
    <w:rsid w:val="00BD4B15"/>
    <w:rsid w:val="00BD4BA8"/>
    <w:rsid w:val="00BD4C4C"/>
    <w:rsid w:val="00BD4C73"/>
    <w:rsid w:val="00BD4E45"/>
    <w:rsid w:val="00BD5735"/>
    <w:rsid w:val="00BD5B1B"/>
    <w:rsid w:val="00BD6537"/>
    <w:rsid w:val="00BD72C5"/>
    <w:rsid w:val="00BE0B99"/>
    <w:rsid w:val="00BE1095"/>
    <w:rsid w:val="00BE1294"/>
    <w:rsid w:val="00BE14C7"/>
    <w:rsid w:val="00BE2835"/>
    <w:rsid w:val="00BE35E9"/>
    <w:rsid w:val="00BE4862"/>
    <w:rsid w:val="00BE638F"/>
    <w:rsid w:val="00BE73CF"/>
    <w:rsid w:val="00BE7741"/>
    <w:rsid w:val="00BE7F3C"/>
    <w:rsid w:val="00BF32DB"/>
    <w:rsid w:val="00BF44FD"/>
    <w:rsid w:val="00BF4CE5"/>
    <w:rsid w:val="00BF53E9"/>
    <w:rsid w:val="00BF5F21"/>
    <w:rsid w:val="00BF679B"/>
    <w:rsid w:val="00BF7556"/>
    <w:rsid w:val="00C001D8"/>
    <w:rsid w:val="00C00507"/>
    <w:rsid w:val="00C01844"/>
    <w:rsid w:val="00C06852"/>
    <w:rsid w:val="00C07DE3"/>
    <w:rsid w:val="00C07E39"/>
    <w:rsid w:val="00C11383"/>
    <w:rsid w:val="00C11B1D"/>
    <w:rsid w:val="00C13409"/>
    <w:rsid w:val="00C13478"/>
    <w:rsid w:val="00C135F8"/>
    <w:rsid w:val="00C14CA8"/>
    <w:rsid w:val="00C14F7F"/>
    <w:rsid w:val="00C15A1F"/>
    <w:rsid w:val="00C16A71"/>
    <w:rsid w:val="00C16F0C"/>
    <w:rsid w:val="00C17171"/>
    <w:rsid w:val="00C1774A"/>
    <w:rsid w:val="00C17B39"/>
    <w:rsid w:val="00C20159"/>
    <w:rsid w:val="00C2084B"/>
    <w:rsid w:val="00C20D2B"/>
    <w:rsid w:val="00C211CE"/>
    <w:rsid w:val="00C211E7"/>
    <w:rsid w:val="00C21252"/>
    <w:rsid w:val="00C213EC"/>
    <w:rsid w:val="00C21D6B"/>
    <w:rsid w:val="00C224E1"/>
    <w:rsid w:val="00C22857"/>
    <w:rsid w:val="00C2495F"/>
    <w:rsid w:val="00C253FF"/>
    <w:rsid w:val="00C2541A"/>
    <w:rsid w:val="00C25F99"/>
    <w:rsid w:val="00C26447"/>
    <w:rsid w:val="00C27916"/>
    <w:rsid w:val="00C27BBE"/>
    <w:rsid w:val="00C300A7"/>
    <w:rsid w:val="00C34123"/>
    <w:rsid w:val="00C34486"/>
    <w:rsid w:val="00C346DD"/>
    <w:rsid w:val="00C357ED"/>
    <w:rsid w:val="00C377FB"/>
    <w:rsid w:val="00C40F5E"/>
    <w:rsid w:val="00C41E62"/>
    <w:rsid w:val="00C41FB8"/>
    <w:rsid w:val="00C422BF"/>
    <w:rsid w:val="00C4359F"/>
    <w:rsid w:val="00C437B9"/>
    <w:rsid w:val="00C448CF"/>
    <w:rsid w:val="00C45CA6"/>
    <w:rsid w:val="00C475D5"/>
    <w:rsid w:val="00C47822"/>
    <w:rsid w:val="00C50147"/>
    <w:rsid w:val="00C50FB5"/>
    <w:rsid w:val="00C52BFC"/>
    <w:rsid w:val="00C53541"/>
    <w:rsid w:val="00C54723"/>
    <w:rsid w:val="00C54860"/>
    <w:rsid w:val="00C54DEA"/>
    <w:rsid w:val="00C54FF2"/>
    <w:rsid w:val="00C55189"/>
    <w:rsid w:val="00C565EA"/>
    <w:rsid w:val="00C5686B"/>
    <w:rsid w:val="00C56F86"/>
    <w:rsid w:val="00C572B2"/>
    <w:rsid w:val="00C5775C"/>
    <w:rsid w:val="00C57CFB"/>
    <w:rsid w:val="00C6333A"/>
    <w:rsid w:val="00C6343E"/>
    <w:rsid w:val="00C6473B"/>
    <w:rsid w:val="00C64E79"/>
    <w:rsid w:val="00C67319"/>
    <w:rsid w:val="00C67513"/>
    <w:rsid w:val="00C70373"/>
    <w:rsid w:val="00C70F8D"/>
    <w:rsid w:val="00C71856"/>
    <w:rsid w:val="00C741D2"/>
    <w:rsid w:val="00C74846"/>
    <w:rsid w:val="00C74C1C"/>
    <w:rsid w:val="00C75DE5"/>
    <w:rsid w:val="00C772E5"/>
    <w:rsid w:val="00C773B8"/>
    <w:rsid w:val="00C77517"/>
    <w:rsid w:val="00C80198"/>
    <w:rsid w:val="00C80396"/>
    <w:rsid w:val="00C80616"/>
    <w:rsid w:val="00C8232A"/>
    <w:rsid w:val="00C8398B"/>
    <w:rsid w:val="00C83B30"/>
    <w:rsid w:val="00C83E95"/>
    <w:rsid w:val="00C84B60"/>
    <w:rsid w:val="00C851A0"/>
    <w:rsid w:val="00C86B7E"/>
    <w:rsid w:val="00C86BBF"/>
    <w:rsid w:val="00C9083D"/>
    <w:rsid w:val="00C91F2A"/>
    <w:rsid w:val="00C921EA"/>
    <w:rsid w:val="00C92258"/>
    <w:rsid w:val="00C92BB2"/>
    <w:rsid w:val="00C92BE4"/>
    <w:rsid w:val="00C933AE"/>
    <w:rsid w:val="00C937D2"/>
    <w:rsid w:val="00C93C21"/>
    <w:rsid w:val="00C9466D"/>
    <w:rsid w:val="00C946F4"/>
    <w:rsid w:val="00C94AAE"/>
    <w:rsid w:val="00C9631E"/>
    <w:rsid w:val="00C96A3C"/>
    <w:rsid w:val="00C9765A"/>
    <w:rsid w:val="00CA0E4C"/>
    <w:rsid w:val="00CA14B2"/>
    <w:rsid w:val="00CA1833"/>
    <w:rsid w:val="00CA1924"/>
    <w:rsid w:val="00CA229C"/>
    <w:rsid w:val="00CA4331"/>
    <w:rsid w:val="00CA4662"/>
    <w:rsid w:val="00CA5450"/>
    <w:rsid w:val="00CA5FBA"/>
    <w:rsid w:val="00CA6727"/>
    <w:rsid w:val="00CA767E"/>
    <w:rsid w:val="00CA7BCD"/>
    <w:rsid w:val="00CB000D"/>
    <w:rsid w:val="00CB041B"/>
    <w:rsid w:val="00CB0A48"/>
    <w:rsid w:val="00CB0CDB"/>
    <w:rsid w:val="00CB12F0"/>
    <w:rsid w:val="00CB14F3"/>
    <w:rsid w:val="00CB29A2"/>
    <w:rsid w:val="00CB364C"/>
    <w:rsid w:val="00CB4454"/>
    <w:rsid w:val="00CB52DB"/>
    <w:rsid w:val="00CB55F2"/>
    <w:rsid w:val="00CB5E0E"/>
    <w:rsid w:val="00CB7154"/>
    <w:rsid w:val="00CC03FB"/>
    <w:rsid w:val="00CC0AB3"/>
    <w:rsid w:val="00CC15F8"/>
    <w:rsid w:val="00CC174C"/>
    <w:rsid w:val="00CC205B"/>
    <w:rsid w:val="00CC2AB2"/>
    <w:rsid w:val="00CC30E7"/>
    <w:rsid w:val="00CC3A25"/>
    <w:rsid w:val="00CC7D0A"/>
    <w:rsid w:val="00CD00CF"/>
    <w:rsid w:val="00CD07BF"/>
    <w:rsid w:val="00CD0C39"/>
    <w:rsid w:val="00CD0FB1"/>
    <w:rsid w:val="00CD1E92"/>
    <w:rsid w:val="00CD20A0"/>
    <w:rsid w:val="00CD26BF"/>
    <w:rsid w:val="00CD2AEB"/>
    <w:rsid w:val="00CD4634"/>
    <w:rsid w:val="00CD4791"/>
    <w:rsid w:val="00CD4E7E"/>
    <w:rsid w:val="00CD5091"/>
    <w:rsid w:val="00CD51D5"/>
    <w:rsid w:val="00CD6E0D"/>
    <w:rsid w:val="00CD72C0"/>
    <w:rsid w:val="00CD7624"/>
    <w:rsid w:val="00CE1312"/>
    <w:rsid w:val="00CE17C2"/>
    <w:rsid w:val="00CE316D"/>
    <w:rsid w:val="00CE5156"/>
    <w:rsid w:val="00CE5371"/>
    <w:rsid w:val="00CE7021"/>
    <w:rsid w:val="00CE7B96"/>
    <w:rsid w:val="00CE7C9E"/>
    <w:rsid w:val="00CE7F28"/>
    <w:rsid w:val="00CE7FC8"/>
    <w:rsid w:val="00CF0F13"/>
    <w:rsid w:val="00CF14C3"/>
    <w:rsid w:val="00CF2537"/>
    <w:rsid w:val="00CF26D3"/>
    <w:rsid w:val="00CF3D1C"/>
    <w:rsid w:val="00CF3F0E"/>
    <w:rsid w:val="00CF3FA7"/>
    <w:rsid w:val="00CF47BA"/>
    <w:rsid w:val="00CF5237"/>
    <w:rsid w:val="00D0069B"/>
    <w:rsid w:val="00D01FA3"/>
    <w:rsid w:val="00D021C9"/>
    <w:rsid w:val="00D028A5"/>
    <w:rsid w:val="00D05348"/>
    <w:rsid w:val="00D0556A"/>
    <w:rsid w:val="00D05F9A"/>
    <w:rsid w:val="00D066CB"/>
    <w:rsid w:val="00D07408"/>
    <w:rsid w:val="00D107E9"/>
    <w:rsid w:val="00D10DC3"/>
    <w:rsid w:val="00D124F5"/>
    <w:rsid w:val="00D13A0B"/>
    <w:rsid w:val="00D14BF4"/>
    <w:rsid w:val="00D15FAE"/>
    <w:rsid w:val="00D176F0"/>
    <w:rsid w:val="00D17762"/>
    <w:rsid w:val="00D203F5"/>
    <w:rsid w:val="00D20647"/>
    <w:rsid w:val="00D211E4"/>
    <w:rsid w:val="00D214D1"/>
    <w:rsid w:val="00D22164"/>
    <w:rsid w:val="00D2239B"/>
    <w:rsid w:val="00D228D2"/>
    <w:rsid w:val="00D22D65"/>
    <w:rsid w:val="00D23512"/>
    <w:rsid w:val="00D237EC"/>
    <w:rsid w:val="00D2383F"/>
    <w:rsid w:val="00D25862"/>
    <w:rsid w:val="00D25B38"/>
    <w:rsid w:val="00D30DAF"/>
    <w:rsid w:val="00D30F77"/>
    <w:rsid w:val="00D31322"/>
    <w:rsid w:val="00D31FED"/>
    <w:rsid w:val="00D33434"/>
    <w:rsid w:val="00D33AA9"/>
    <w:rsid w:val="00D34047"/>
    <w:rsid w:val="00D34C74"/>
    <w:rsid w:val="00D34D64"/>
    <w:rsid w:val="00D35A00"/>
    <w:rsid w:val="00D36484"/>
    <w:rsid w:val="00D36F40"/>
    <w:rsid w:val="00D3711A"/>
    <w:rsid w:val="00D374C2"/>
    <w:rsid w:val="00D3781D"/>
    <w:rsid w:val="00D408A9"/>
    <w:rsid w:val="00D40AE1"/>
    <w:rsid w:val="00D416E6"/>
    <w:rsid w:val="00D41FC9"/>
    <w:rsid w:val="00D4258B"/>
    <w:rsid w:val="00D43C3C"/>
    <w:rsid w:val="00D449A6"/>
    <w:rsid w:val="00D4575D"/>
    <w:rsid w:val="00D468A4"/>
    <w:rsid w:val="00D4772A"/>
    <w:rsid w:val="00D47C20"/>
    <w:rsid w:val="00D502B2"/>
    <w:rsid w:val="00D50E2C"/>
    <w:rsid w:val="00D514EB"/>
    <w:rsid w:val="00D51C43"/>
    <w:rsid w:val="00D533BC"/>
    <w:rsid w:val="00D539CA"/>
    <w:rsid w:val="00D544B0"/>
    <w:rsid w:val="00D54E93"/>
    <w:rsid w:val="00D550DF"/>
    <w:rsid w:val="00D55328"/>
    <w:rsid w:val="00D55472"/>
    <w:rsid w:val="00D554EC"/>
    <w:rsid w:val="00D55A94"/>
    <w:rsid w:val="00D5676E"/>
    <w:rsid w:val="00D56DFD"/>
    <w:rsid w:val="00D577CD"/>
    <w:rsid w:val="00D60485"/>
    <w:rsid w:val="00D60C12"/>
    <w:rsid w:val="00D62322"/>
    <w:rsid w:val="00D628A4"/>
    <w:rsid w:val="00D628AC"/>
    <w:rsid w:val="00D628D1"/>
    <w:rsid w:val="00D63211"/>
    <w:rsid w:val="00D661A4"/>
    <w:rsid w:val="00D661DF"/>
    <w:rsid w:val="00D7021B"/>
    <w:rsid w:val="00D70B6B"/>
    <w:rsid w:val="00D72758"/>
    <w:rsid w:val="00D73F3C"/>
    <w:rsid w:val="00D74995"/>
    <w:rsid w:val="00D74E6B"/>
    <w:rsid w:val="00D75587"/>
    <w:rsid w:val="00D758BF"/>
    <w:rsid w:val="00D758EC"/>
    <w:rsid w:val="00D759D9"/>
    <w:rsid w:val="00D76551"/>
    <w:rsid w:val="00D7704C"/>
    <w:rsid w:val="00D77445"/>
    <w:rsid w:val="00D778B5"/>
    <w:rsid w:val="00D77A55"/>
    <w:rsid w:val="00D77D01"/>
    <w:rsid w:val="00D808CA"/>
    <w:rsid w:val="00D80F48"/>
    <w:rsid w:val="00D81DBE"/>
    <w:rsid w:val="00D8302A"/>
    <w:rsid w:val="00D8482C"/>
    <w:rsid w:val="00D85738"/>
    <w:rsid w:val="00D86CE7"/>
    <w:rsid w:val="00D87491"/>
    <w:rsid w:val="00D87F93"/>
    <w:rsid w:val="00D9020C"/>
    <w:rsid w:val="00D90A11"/>
    <w:rsid w:val="00D90C8B"/>
    <w:rsid w:val="00D910B6"/>
    <w:rsid w:val="00D92409"/>
    <w:rsid w:val="00D9277D"/>
    <w:rsid w:val="00D928C9"/>
    <w:rsid w:val="00D9292D"/>
    <w:rsid w:val="00D92D09"/>
    <w:rsid w:val="00D934C3"/>
    <w:rsid w:val="00D938CE"/>
    <w:rsid w:val="00D9393F"/>
    <w:rsid w:val="00D93A54"/>
    <w:rsid w:val="00D94A1D"/>
    <w:rsid w:val="00D9508D"/>
    <w:rsid w:val="00D9584F"/>
    <w:rsid w:val="00D9676E"/>
    <w:rsid w:val="00D96E6E"/>
    <w:rsid w:val="00DA178B"/>
    <w:rsid w:val="00DA1AE9"/>
    <w:rsid w:val="00DA203F"/>
    <w:rsid w:val="00DA2DDA"/>
    <w:rsid w:val="00DA384A"/>
    <w:rsid w:val="00DA3DB4"/>
    <w:rsid w:val="00DA48EE"/>
    <w:rsid w:val="00DA4910"/>
    <w:rsid w:val="00DA4FD1"/>
    <w:rsid w:val="00DA7CE9"/>
    <w:rsid w:val="00DB0DE2"/>
    <w:rsid w:val="00DB159E"/>
    <w:rsid w:val="00DB2010"/>
    <w:rsid w:val="00DB2801"/>
    <w:rsid w:val="00DB29E2"/>
    <w:rsid w:val="00DB2A2E"/>
    <w:rsid w:val="00DB3A65"/>
    <w:rsid w:val="00DB4521"/>
    <w:rsid w:val="00DB4988"/>
    <w:rsid w:val="00DB4B50"/>
    <w:rsid w:val="00DB57B3"/>
    <w:rsid w:val="00DB5F74"/>
    <w:rsid w:val="00DB6A63"/>
    <w:rsid w:val="00DB70F2"/>
    <w:rsid w:val="00DB72D0"/>
    <w:rsid w:val="00DB7955"/>
    <w:rsid w:val="00DB7A48"/>
    <w:rsid w:val="00DB7DEC"/>
    <w:rsid w:val="00DB7F0A"/>
    <w:rsid w:val="00DB7FFB"/>
    <w:rsid w:val="00DC0AB2"/>
    <w:rsid w:val="00DC0AF0"/>
    <w:rsid w:val="00DC1322"/>
    <w:rsid w:val="00DC14DE"/>
    <w:rsid w:val="00DC171F"/>
    <w:rsid w:val="00DC274E"/>
    <w:rsid w:val="00DC2D44"/>
    <w:rsid w:val="00DC2D86"/>
    <w:rsid w:val="00DC3C35"/>
    <w:rsid w:val="00DC3F09"/>
    <w:rsid w:val="00DC4085"/>
    <w:rsid w:val="00DC44E4"/>
    <w:rsid w:val="00DC5130"/>
    <w:rsid w:val="00DC6855"/>
    <w:rsid w:val="00DC790D"/>
    <w:rsid w:val="00DD0EF2"/>
    <w:rsid w:val="00DD122F"/>
    <w:rsid w:val="00DD1418"/>
    <w:rsid w:val="00DD23A6"/>
    <w:rsid w:val="00DD3B19"/>
    <w:rsid w:val="00DD4894"/>
    <w:rsid w:val="00DD4D1D"/>
    <w:rsid w:val="00DD4DB8"/>
    <w:rsid w:val="00DD583D"/>
    <w:rsid w:val="00DD5E9A"/>
    <w:rsid w:val="00DD60B7"/>
    <w:rsid w:val="00DD6586"/>
    <w:rsid w:val="00DD71B9"/>
    <w:rsid w:val="00DD722B"/>
    <w:rsid w:val="00DE01D0"/>
    <w:rsid w:val="00DE0788"/>
    <w:rsid w:val="00DE12E9"/>
    <w:rsid w:val="00DE14C7"/>
    <w:rsid w:val="00DE3A15"/>
    <w:rsid w:val="00DE3CB9"/>
    <w:rsid w:val="00DE3E41"/>
    <w:rsid w:val="00DE42FB"/>
    <w:rsid w:val="00DE5AC9"/>
    <w:rsid w:val="00DE619D"/>
    <w:rsid w:val="00DE656C"/>
    <w:rsid w:val="00DE6A5D"/>
    <w:rsid w:val="00DE7A10"/>
    <w:rsid w:val="00DE7E8A"/>
    <w:rsid w:val="00DF081C"/>
    <w:rsid w:val="00DF1CD0"/>
    <w:rsid w:val="00DF2FBC"/>
    <w:rsid w:val="00DF382C"/>
    <w:rsid w:val="00DF3F87"/>
    <w:rsid w:val="00DF43D5"/>
    <w:rsid w:val="00DF4AFA"/>
    <w:rsid w:val="00DF50E7"/>
    <w:rsid w:val="00DF57BB"/>
    <w:rsid w:val="00DF5B23"/>
    <w:rsid w:val="00DF628D"/>
    <w:rsid w:val="00DF7891"/>
    <w:rsid w:val="00E004DA"/>
    <w:rsid w:val="00E00CDD"/>
    <w:rsid w:val="00E00D28"/>
    <w:rsid w:val="00E00DD9"/>
    <w:rsid w:val="00E0195E"/>
    <w:rsid w:val="00E01FAD"/>
    <w:rsid w:val="00E04D01"/>
    <w:rsid w:val="00E0529E"/>
    <w:rsid w:val="00E0687A"/>
    <w:rsid w:val="00E06EA9"/>
    <w:rsid w:val="00E06F32"/>
    <w:rsid w:val="00E071D4"/>
    <w:rsid w:val="00E104C0"/>
    <w:rsid w:val="00E13B02"/>
    <w:rsid w:val="00E13CA2"/>
    <w:rsid w:val="00E13EC8"/>
    <w:rsid w:val="00E142DA"/>
    <w:rsid w:val="00E14B7D"/>
    <w:rsid w:val="00E14CE0"/>
    <w:rsid w:val="00E15BA6"/>
    <w:rsid w:val="00E165C5"/>
    <w:rsid w:val="00E17DEC"/>
    <w:rsid w:val="00E22416"/>
    <w:rsid w:val="00E234BB"/>
    <w:rsid w:val="00E23899"/>
    <w:rsid w:val="00E23F76"/>
    <w:rsid w:val="00E26763"/>
    <w:rsid w:val="00E26A70"/>
    <w:rsid w:val="00E26D3E"/>
    <w:rsid w:val="00E27FF2"/>
    <w:rsid w:val="00E30820"/>
    <w:rsid w:val="00E31C83"/>
    <w:rsid w:val="00E3228C"/>
    <w:rsid w:val="00E32AA1"/>
    <w:rsid w:val="00E33224"/>
    <w:rsid w:val="00E3577E"/>
    <w:rsid w:val="00E373CA"/>
    <w:rsid w:val="00E377C8"/>
    <w:rsid w:val="00E4119F"/>
    <w:rsid w:val="00E41307"/>
    <w:rsid w:val="00E41A35"/>
    <w:rsid w:val="00E41FF3"/>
    <w:rsid w:val="00E420D3"/>
    <w:rsid w:val="00E424AB"/>
    <w:rsid w:val="00E42779"/>
    <w:rsid w:val="00E44C10"/>
    <w:rsid w:val="00E45810"/>
    <w:rsid w:val="00E45E2C"/>
    <w:rsid w:val="00E46260"/>
    <w:rsid w:val="00E46560"/>
    <w:rsid w:val="00E46750"/>
    <w:rsid w:val="00E46C7C"/>
    <w:rsid w:val="00E47FBF"/>
    <w:rsid w:val="00E50024"/>
    <w:rsid w:val="00E5002E"/>
    <w:rsid w:val="00E508F2"/>
    <w:rsid w:val="00E50F0C"/>
    <w:rsid w:val="00E51086"/>
    <w:rsid w:val="00E51283"/>
    <w:rsid w:val="00E51BF2"/>
    <w:rsid w:val="00E51C05"/>
    <w:rsid w:val="00E52548"/>
    <w:rsid w:val="00E52D2D"/>
    <w:rsid w:val="00E53013"/>
    <w:rsid w:val="00E537F3"/>
    <w:rsid w:val="00E54CA5"/>
    <w:rsid w:val="00E5544B"/>
    <w:rsid w:val="00E55B4C"/>
    <w:rsid w:val="00E55B73"/>
    <w:rsid w:val="00E560F5"/>
    <w:rsid w:val="00E56CFE"/>
    <w:rsid w:val="00E573CE"/>
    <w:rsid w:val="00E60408"/>
    <w:rsid w:val="00E60C17"/>
    <w:rsid w:val="00E61566"/>
    <w:rsid w:val="00E6327A"/>
    <w:rsid w:val="00E634C8"/>
    <w:rsid w:val="00E63A92"/>
    <w:rsid w:val="00E641B4"/>
    <w:rsid w:val="00E648DD"/>
    <w:rsid w:val="00E64F72"/>
    <w:rsid w:val="00E66F53"/>
    <w:rsid w:val="00E67C7A"/>
    <w:rsid w:val="00E67C8B"/>
    <w:rsid w:val="00E67CA3"/>
    <w:rsid w:val="00E67CCF"/>
    <w:rsid w:val="00E7034D"/>
    <w:rsid w:val="00E70382"/>
    <w:rsid w:val="00E70A6D"/>
    <w:rsid w:val="00E70BF7"/>
    <w:rsid w:val="00E73640"/>
    <w:rsid w:val="00E743D9"/>
    <w:rsid w:val="00E74E98"/>
    <w:rsid w:val="00E76FE9"/>
    <w:rsid w:val="00E77092"/>
    <w:rsid w:val="00E77135"/>
    <w:rsid w:val="00E800DF"/>
    <w:rsid w:val="00E8168D"/>
    <w:rsid w:val="00E8276A"/>
    <w:rsid w:val="00E82ABD"/>
    <w:rsid w:val="00E82FB9"/>
    <w:rsid w:val="00E844BF"/>
    <w:rsid w:val="00E84E68"/>
    <w:rsid w:val="00E858FD"/>
    <w:rsid w:val="00E87AE2"/>
    <w:rsid w:val="00E87DD9"/>
    <w:rsid w:val="00E90C8E"/>
    <w:rsid w:val="00E913ED"/>
    <w:rsid w:val="00E91DE3"/>
    <w:rsid w:val="00E92A37"/>
    <w:rsid w:val="00E94793"/>
    <w:rsid w:val="00E94E0C"/>
    <w:rsid w:val="00E95D9D"/>
    <w:rsid w:val="00E95E6D"/>
    <w:rsid w:val="00E96374"/>
    <w:rsid w:val="00E96B73"/>
    <w:rsid w:val="00E96E04"/>
    <w:rsid w:val="00E96FF0"/>
    <w:rsid w:val="00EA04B1"/>
    <w:rsid w:val="00EA0DAC"/>
    <w:rsid w:val="00EA242D"/>
    <w:rsid w:val="00EA2626"/>
    <w:rsid w:val="00EA285C"/>
    <w:rsid w:val="00EA2DB2"/>
    <w:rsid w:val="00EA5DE3"/>
    <w:rsid w:val="00EA60F5"/>
    <w:rsid w:val="00EA6275"/>
    <w:rsid w:val="00EA771A"/>
    <w:rsid w:val="00EA78A3"/>
    <w:rsid w:val="00EB0363"/>
    <w:rsid w:val="00EB06F5"/>
    <w:rsid w:val="00EB1A46"/>
    <w:rsid w:val="00EB238E"/>
    <w:rsid w:val="00EB23AD"/>
    <w:rsid w:val="00EB2418"/>
    <w:rsid w:val="00EB262D"/>
    <w:rsid w:val="00EB454C"/>
    <w:rsid w:val="00EB4E03"/>
    <w:rsid w:val="00EB5086"/>
    <w:rsid w:val="00EB5D94"/>
    <w:rsid w:val="00EB75C6"/>
    <w:rsid w:val="00EB75FD"/>
    <w:rsid w:val="00EC0BCA"/>
    <w:rsid w:val="00EC105E"/>
    <w:rsid w:val="00EC106A"/>
    <w:rsid w:val="00EC1B8B"/>
    <w:rsid w:val="00EC1DAA"/>
    <w:rsid w:val="00EC2403"/>
    <w:rsid w:val="00EC5842"/>
    <w:rsid w:val="00EC6013"/>
    <w:rsid w:val="00EC657D"/>
    <w:rsid w:val="00EC6CC2"/>
    <w:rsid w:val="00EC6F92"/>
    <w:rsid w:val="00ED0026"/>
    <w:rsid w:val="00ED014E"/>
    <w:rsid w:val="00ED0BD0"/>
    <w:rsid w:val="00ED10B3"/>
    <w:rsid w:val="00ED117B"/>
    <w:rsid w:val="00ED1212"/>
    <w:rsid w:val="00ED1A5E"/>
    <w:rsid w:val="00ED214B"/>
    <w:rsid w:val="00ED291A"/>
    <w:rsid w:val="00ED2CDA"/>
    <w:rsid w:val="00ED2E6A"/>
    <w:rsid w:val="00ED2FC4"/>
    <w:rsid w:val="00ED39EA"/>
    <w:rsid w:val="00ED3FFA"/>
    <w:rsid w:val="00ED4DD9"/>
    <w:rsid w:val="00ED626D"/>
    <w:rsid w:val="00ED76EF"/>
    <w:rsid w:val="00ED7978"/>
    <w:rsid w:val="00EE0A17"/>
    <w:rsid w:val="00EE197D"/>
    <w:rsid w:val="00EE2C26"/>
    <w:rsid w:val="00EE2DF7"/>
    <w:rsid w:val="00EE314D"/>
    <w:rsid w:val="00EE3215"/>
    <w:rsid w:val="00EE337D"/>
    <w:rsid w:val="00EE39C2"/>
    <w:rsid w:val="00EE3D55"/>
    <w:rsid w:val="00EE3F9D"/>
    <w:rsid w:val="00EE557C"/>
    <w:rsid w:val="00EE6CD9"/>
    <w:rsid w:val="00EE7BDC"/>
    <w:rsid w:val="00EF0746"/>
    <w:rsid w:val="00EF0839"/>
    <w:rsid w:val="00EF09B9"/>
    <w:rsid w:val="00EF1291"/>
    <w:rsid w:val="00EF144D"/>
    <w:rsid w:val="00EF14E4"/>
    <w:rsid w:val="00EF4016"/>
    <w:rsid w:val="00EF41AF"/>
    <w:rsid w:val="00EF48D0"/>
    <w:rsid w:val="00EF4FE0"/>
    <w:rsid w:val="00EF629F"/>
    <w:rsid w:val="00EF646A"/>
    <w:rsid w:val="00EF7536"/>
    <w:rsid w:val="00EF7E9A"/>
    <w:rsid w:val="00F02AB6"/>
    <w:rsid w:val="00F03134"/>
    <w:rsid w:val="00F03569"/>
    <w:rsid w:val="00F03777"/>
    <w:rsid w:val="00F05678"/>
    <w:rsid w:val="00F07154"/>
    <w:rsid w:val="00F077C9"/>
    <w:rsid w:val="00F114E1"/>
    <w:rsid w:val="00F11E28"/>
    <w:rsid w:val="00F11E38"/>
    <w:rsid w:val="00F12055"/>
    <w:rsid w:val="00F12322"/>
    <w:rsid w:val="00F12656"/>
    <w:rsid w:val="00F12961"/>
    <w:rsid w:val="00F130E5"/>
    <w:rsid w:val="00F1340C"/>
    <w:rsid w:val="00F13B82"/>
    <w:rsid w:val="00F141AF"/>
    <w:rsid w:val="00F154C6"/>
    <w:rsid w:val="00F167CF"/>
    <w:rsid w:val="00F1698E"/>
    <w:rsid w:val="00F16ADA"/>
    <w:rsid w:val="00F16C3A"/>
    <w:rsid w:val="00F16D07"/>
    <w:rsid w:val="00F16E25"/>
    <w:rsid w:val="00F20795"/>
    <w:rsid w:val="00F2123F"/>
    <w:rsid w:val="00F22443"/>
    <w:rsid w:val="00F231C8"/>
    <w:rsid w:val="00F239F4"/>
    <w:rsid w:val="00F23FD0"/>
    <w:rsid w:val="00F2419C"/>
    <w:rsid w:val="00F24D1D"/>
    <w:rsid w:val="00F260F4"/>
    <w:rsid w:val="00F26DEB"/>
    <w:rsid w:val="00F31E94"/>
    <w:rsid w:val="00F326DC"/>
    <w:rsid w:val="00F3338B"/>
    <w:rsid w:val="00F342D9"/>
    <w:rsid w:val="00F3478D"/>
    <w:rsid w:val="00F3524A"/>
    <w:rsid w:val="00F36066"/>
    <w:rsid w:val="00F40909"/>
    <w:rsid w:val="00F40D28"/>
    <w:rsid w:val="00F422BE"/>
    <w:rsid w:val="00F4239B"/>
    <w:rsid w:val="00F42AA5"/>
    <w:rsid w:val="00F42D30"/>
    <w:rsid w:val="00F437F9"/>
    <w:rsid w:val="00F448DD"/>
    <w:rsid w:val="00F44A18"/>
    <w:rsid w:val="00F456D8"/>
    <w:rsid w:val="00F46231"/>
    <w:rsid w:val="00F4687C"/>
    <w:rsid w:val="00F469A5"/>
    <w:rsid w:val="00F4764B"/>
    <w:rsid w:val="00F47704"/>
    <w:rsid w:val="00F47736"/>
    <w:rsid w:val="00F50943"/>
    <w:rsid w:val="00F51187"/>
    <w:rsid w:val="00F5181C"/>
    <w:rsid w:val="00F51F1D"/>
    <w:rsid w:val="00F52FBE"/>
    <w:rsid w:val="00F542FD"/>
    <w:rsid w:val="00F568E7"/>
    <w:rsid w:val="00F57289"/>
    <w:rsid w:val="00F603FE"/>
    <w:rsid w:val="00F60465"/>
    <w:rsid w:val="00F62319"/>
    <w:rsid w:val="00F62D66"/>
    <w:rsid w:val="00F63D59"/>
    <w:rsid w:val="00F6424F"/>
    <w:rsid w:val="00F6442D"/>
    <w:rsid w:val="00F64479"/>
    <w:rsid w:val="00F65303"/>
    <w:rsid w:val="00F65B4C"/>
    <w:rsid w:val="00F667C7"/>
    <w:rsid w:val="00F667CC"/>
    <w:rsid w:val="00F70555"/>
    <w:rsid w:val="00F71AA9"/>
    <w:rsid w:val="00F72096"/>
    <w:rsid w:val="00F73AF5"/>
    <w:rsid w:val="00F73C7D"/>
    <w:rsid w:val="00F751D6"/>
    <w:rsid w:val="00F75445"/>
    <w:rsid w:val="00F7549C"/>
    <w:rsid w:val="00F75576"/>
    <w:rsid w:val="00F75B6A"/>
    <w:rsid w:val="00F760DF"/>
    <w:rsid w:val="00F765FE"/>
    <w:rsid w:val="00F76BA7"/>
    <w:rsid w:val="00F76D92"/>
    <w:rsid w:val="00F81E19"/>
    <w:rsid w:val="00F826CF"/>
    <w:rsid w:val="00F82BE8"/>
    <w:rsid w:val="00F8300B"/>
    <w:rsid w:val="00F83904"/>
    <w:rsid w:val="00F84875"/>
    <w:rsid w:val="00F84C71"/>
    <w:rsid w:val="00F8581B"/>
    <w:rsid w:val="00F859D8"/>
    <w:rsid w:val="00F85CF1"/>
    <w:rsid w:val="00F86E1D"/>
    <w:rsid w:val="00F87452"/>
    <w:rsid w:val="00F87624"/>
    <w:rsid w:val="00F87938"/>
    <w:rsid w:val="00F913BE"/>
    <w:rsid w:val="00F91735"/>
    <w:rsid w:val="00F92901"/>
    <w:rsid w:val="00F92B17"/>
    <w:rsid w:val="00F92F1A"/>
    <w:rsid w:val="00F936F1"/>
    <w:rsid w:val="00F9464C"/>
    <w:rsid w:val="00F95217"/>
    <w:rsid w:val="00F953F2"/>
    <w:rsid w:val="00F96D4A"/>
    <w:rsid w:val="00F97135"/>
    <w:rsid w:val="00F97FF4"/>
    <w:rsid w:val="00FA0C1E"/>
    <w:rsid w:val="00FA1926"/>
    <w:rsid w:val="00FA3ED2"/>
    <w:rsid w:val="00FA4AE8"/>
    <w:rsid w:val="00FA4B5B"/>
    <w:rsid w:val="00FA4CB4"/>
    <w:rsid w:val="00FA5A40"/>
    <w:rsid w:val="00FA6B46"/>
    <w:rsid w:val="00FA7776"/>
    <w:rsid w:val="00FB0404"/>
    <w:rsid w:val="00FB06B3"/>
    <w:rsid w:val="00FB0F58"/>
    <w:rsid w:val="00FB2922"/>
    <w:rsid w:val="00FB2D91"/>
    <w:rsid w:val="00FB30CF"/>
    <w:rsid w:val="00FB4628"/>
    <w:rsid w:val="00FB4A08"/>
    <w:rsid w:val="00FB72D0"/>
    <w:rsid w:val="00FB73BC"/>
    <w:rsid w:val="00FB744A"/>
    <w:rsid w:val="00FB79AF"/>
    <w:rsid w:val="00FC0460"/>
    <w:rsid w:val="00FC0CEE"/>
    <w:rsid w:val="00FC1811"/>
    <w:rsid w:val="00FC18EF"/>
    <w:rsid w:val="00FC193B"/>
    <w:rsid w:val="00FC1EB8"/>
    <w:rsid w:val="00FC3057"/>
    <w:rsid w:val="00FC371F"/>
    <w:rsid w:val="00FC5269"/>
    <w:rsid w:val="00FC572E"/>
    <w:rsid w:val="00FC6679"/>
    <w:rsid w:val="00FC6718"/>
    <w:rsid w:val="00FC7517"/>
    <w:rsid w:val="00FC7C8A"/>
    <w:rsid w:val="00FC7CF1"/>
    <w:rsid w:val="00FC7DC2"/>
    <w:rsid w:val="00FD041A"/>
    <w:rsid w:val="00FD0EFE"/>
    <w:rsid w:val="00FD0F00"/>
    <w:rsid w:val="00FD2A8F"/>
    <w:rsid w:val="00FD3698"/>
    <w:rsid w:val="00FD50D1"/>
    <w:rsid w:val="00FD51BF"/>
    <w:rsid w:val="00FD5653"/>
    <w:rsid w:val="00FD670C"/>
    <w:rsid w:val="00FD68A9"/>
    <w:rsid w:val="00FD7DD1"/>
    <w:rsid w:val="00FE0F93"/>
    <w:rsid w:val="00FE13B9"/>
    <w:rsid w:val="00FE1AFF"/>
    <w:rsid w:val="00FE2391"/>
    <w:rsid w:val="00FE3752"/>
    <w:rsid w:val="00FE449E"/>
    <w:rsid w:val="00FE4554"/>
    <w:rsid w:val="00FE4E59"/>
    <w:rsid w:val="00FE527C"/>
    <w:rsid w:val="00FE599A"/>
    <w:rsid w:val="00FE5B39"/>
    <w:rsid w:val="00FE6657"/>
    <w:rsid w:val="00FE6DE0"/>
    <w:rsid w:val="00FE6EBA"/>
    <w:rsid w:val="00FF1618"/>
    <w:rsid w:val="00FF166D"/>
    <w:rsid w:val="00FF1720"/>
    <w:rsid w:val="00FF446F"/>
    <w:rsid w:val="00FF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DE541CB"/>
  <w15:docId w15:val="{011F6B71-1468-415C-AFE2-D87C7EB6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F8B"/>
    <w:pPr>
      <w:spacing w:after="120" w:line="276" w:lineRule="auto"/>
      <w:jc w:val="both"/>
    </w:pPr>
    <w:rPr>
      <w:rFonts w:ascii="Arial" w:hAnsi="Arial" w:cstheme="minorBidi"/>
      <w:sz w:val="22"/>
      <w:szCs w:val="22"/>
      <w:lang w:eastAsia="en-US" w:bidi="en-US"/>
    </w:rPr>
  </w:style>
  <w:style w:type="paragraph" w:styleId="Heading1">
    <w:name w:val="heading 1"/>
    <w:basedOn w:val="TOCTitle"/>
    <w:next w:val="Normal"/>
    <w:link w:val="Heading1Char"/>
    <w:uiPriority w:val="5"/>
    <w:qFormat/>
    <w:rsid w:val="008D0CE8"/>
    <w:pPr>
      <w:numPr>
        <w:numId w:val="3"/>
      </w:numPr>
      <w:tabs>
        <w:tab w:val="clear" w:pos="576"/>
        <w:tab w:val="clear" w:pos="9360"/>
      </w:tabs>
      <w:jc w:val="left"/>
      <w:outlineLvl w:val="0"/>
    </w:pPr>
    <w:rPr>
      <w:rFonts w:cs="Times New Roman"/>
      <w:noProof/>
      <w:color w:val="004625" w:themeColor="text2"/>
      <w:sz w:val="36"/>
      <w:szCs w:val="36"/>
      <w:lang w:bidi="ar-SA"/>
    </w:rPr>
  </w:style>
  <w:style w:type="paragraph" w:styleId="Heading2">
    <w:name w:val="heading 2"/>
    <w:basedOn w:val="Normal"/>
    <w:next w:val="Normal"/>
    <w:link w:val="Heading2Char"/>
    <w:uiPriority w:val="6"/>
    <w:qFormat/>
    <w:rsid w:val="008D0CE8"/>
    <w:pPr>
      <w:keepNext/>
      <w:numPr>
        <w:ilvl w:val="1"/>
        <w:numId w:val="3"/>
      </w:numPr>
      <w:spacing w:before="400" w:after="60"/>
      <w:outlineLvl w:val="1"/>
    </w:pPr>
    <w:rPr>
      <w:rFonts w:ascii="Arial Bold" w:eastAsiaTheme="majorEastAsia" w:hAnsi="Arial Bold" w:cstheme="majorBidi"/>
      <w:b/>
      <w:bCs/>
      <w:smallCaps/>
      <w:color w:val="046A38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7"/>
    <w:qFormat/>
    <w:rsid w:val="008D0CE8"/>
    <w:pPr>
      <w:keepNext/>
      <w:numPr>
        <w:ilvl w:val="2"/>
        <w:numId w:val="3"/>
      </w:numPr>
      <w:spacing w:before="240" w:after="60" w:line="271" w:lineRule="auto"/>
      <w:outlineLvl w:val="2"/>
    </w:pPr>
    <w:rPr>
      <w:rFonts w:ascii="Arial Bold" w:eastAsiaTheme="majorEastAsia" w:hAnsi="Arial Bold" w:cstheme="majorBidi"/>
      <w:b/>
      <w:bCs/>
      <w:color w:val="54A880"/>
      <w:sz w:val="24"/>
    </w:rPr>
  </w:style>
  <w:style w:type="paragraph" w:styleId="Heading4">
    <w:name w:val="heading 4"/>
    <w:basedOn w:val="Normal"/>
    <w:next w:val="Normal"/>
    <w:link w:val="Heading4Char"/>
    <w:uiPriority w:val="8"/>
    <w:qFormat/>
    <w:rsid w:val="000506CC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Cs/>
      <w:color w:val="54A880"/>
      <w:sz w:val="24"/>
    </w:rPr>
  </w:style>
  <w:style w:type="paragraph" w:styleId="Heading5">
    <w:name w:val="heading 5"/>
    <w:basedOn w:val="Normal"/>
    <w:next w:val="Normal"/>
    <w:link w:val="Heading5Char"/>
    <w:uiPriority w:val="22"/>
    <w:unhideWhenUsed/>
    <w:rsid w:val="002C266B"/>
    <w:pPr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21"/>
    <w:unhideWhenUsed/>
    <w:rsid w:val="002C266B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21"/>
    <w:semiHidden/>
    <w:unhideWhenUsed/>
    <w:qFormat/>
    <w:rsid w:val="002C266B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21"/>
    <w:semiHidden/>
    <w:unhideWhenUsed/>
    <w:qFormat/>
    <w:rsid w:val="002C266B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23"/>
    <w:unhideWhenUsed/>
    <w:rsid w:val="002C266B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T - Numbered List Paragraph,Bullet Styles para,TOC etc.,Bulleted List Paragraph"/>
    <w:basedOn w:val="Normal"/>
    <w:link w:val="ListParagraphChar"/>
    <w:uiPriority w:val="34"/>
    <w:qFormat/>
    <w:rsid w:val="00453A5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E7FC8"/>
    <w:pPr>
      <w:tabs>
        <w:tab w:val="center" w:pos="4680"/>
        <w:tab w:val="right" w:pos="9360"/>
      </w:tabs>
      <w:spacing w:before="480" w:after="0"/>
      <w:jc w:val="right"/>
    </w:pPr>
    <w:rPr>
      <w:rFonts w:ascii="Arial Bold" w:hAnsi="Arial Bold"/>
      <w:b/>
      <w:caps/>
      <w:color w:val="0F673B"/>
    </w:rPr>
  </w:style>
  <w:style w:type="character" w:customStyle="1" w:styleId="HeaderChar">
    <w:name w:val="Header Char"/>
    <w:basedOn w:val="DefaultParagraphFont"/>
    <w:link w:val="Header"/>
    <w:uiPriority w:val="99"/>
    <w:rsid w:val="00CE7FC8"/>
    <w:rPr>
      <w:rFonts w:ascii="Arial Bold" w:hAnsi="Arial Bold" w:cstheme="minorBidi"/>
      <w:b/>
      <w:caps/>
      <w:color w:val="0F673B"/>
      <w:sz w:val="20"/>
      <w:szCs w:val="22"/>
      <w:lang w:eastAsia="en-US" w:bidi="en-US"/>
    </w:rPr>
  </w:style>
  <w:style w:type="paragraph" w:styleId="Footer">
    <w:name w:val="footer"/>
    <w:aliases w:val=" Char Char Char Char Char Char,Char Char Char Char Char Char"/>
    <w:basedOn w:val="Normal"/>
    <w:link w:val="FooterChar"/>
    <w:uiPriority w:val="99"/>
    <w:unhideWhenUsed/>
    <w:rsid w:val="002C266B"/>
    <w:pPr>
      <w:tabs>
        <w:tab w:val="center" w:pos="4680"/>
        <w:tab w:val="right" w:pos="9360"/>
      </w:tabs>
      <w:spacing w:after="0"/>
    </w:pPr>
    <w:rPr>
      <w:b/>
    </w:rPr>
  </w:style>
  <w:style w:type="character" w:customStyle="1" w:styleId="FooterChar">
    <w:name w:val="Footer Char"/>
    <w:aliases w:val=" Char Char Char Char Char Char Char,Char Char Char Char Char Char Char"/>
    <w:basedOn w:val="DefaultParagraphFont"/>
    <w:link w:val="Footer"/>
    <w:uiPriority w:val="99"/>
    <w:rsid w:val="002C266B"/>
    <w:rPr>
      <w:rFonts w:cstheme="minorBidi"/>
      <w:b/>
      <w:sz w:val="20"/>
      <w:szCs w:val="22"/>
      <w:lang w:eastAsia="en-US" w:bidi="en-US"/>
    </w:rPr>
  </w:style>
  <w:style w:type="table" w:styleId="TableGrid">
    <w:name w:val="Table Grid"/>
    <w:aliases w:val="Hrztl Table"/>
    <w:basedOn w:val="TableNormal"/>
    <w:uiPriority w:val="59"/>
    <w:rsid w:val="002C266B"/>
    <w:rPr>
      <w:rFonts w:cstheme="minorBidi"/>
      <w:sz w:val="22"/>
      <w:szCs w:val="22"/>
      <w:lang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2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6B"/>
    <w:rPr>
      <w:rFonts w:ascii="Tahoma" w:hAnsi="Tahoma" w:cs="Tahoma"/>
      <w:sz w:val="16"/>
      <w:szCs w:val="16"/>
      <w:lang w:eastAsia="en-US" w:bidi="en-US"/>
    </w:rPr>
  </w:style>
  <w:style w:type="character" w:styleId="PageNumber">
    <w:name w:val="page number"/>
    <w:basedOn w:val="DefaultParagraphFont"/>
    <w:uiPriority w:val="99"/>
    <w:semiHidden/>
    <w:unhideWhenUsed/>
    <w:rsid w:val="00D40AE1"/>
  </w:style>
  <w:style w:type="paragraph" w:styleId="TOC2">
    <w:name w:val="toc 2"/>
    <w:basedOn w:val="Normal"/>
    <w:next w:val="Normal"/>
    <w:autoRedefine/>
    <w:uiPriority w:val="39"/>
    <w:unhideWhenUsed/>
    <w:qFormat/>
    <w:rsid w:val="00E82ABD"/>
    <w:pPr>
      <w:tabs>
        <w:tab w:val="left" w:pos="880"/>
        <w:tab w:val="right" w:leader="dot" w:pos="8910"/>
      </w:tabs>
      <w:spacing w:after="100"/>
      <w:ind w:left="936" w:right="720" w:hanging="720"/>
    </w:pPr>
    <w:rPr>
      <w:rFonts w:cs="Times New Roman"/>
      <w:smallCaps/>
      <w:noProof/>
      <w:szCs w:val="20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F11C1"/>
    <w:pPr>
      <w:tabs>
        <w:tab w:val="left" w:pos="1540"/>
        <w:tab w:val="right" w:leader="dot" w:pos="8910"/>
      </w:tabs>
      <w:spacing w:after="100"/>
      <w:ind w:right="720"/>
    </w:pPr>
    <w:rPr>
      <w:b/>
      <w:smallCaps/>
      <w:noProof/>
      <w:lang w:bidi="ar-SA"/>
    </w:rPr>
  </w:style>
  <w:style w:type="character" w:styleId="Hyperlink">
    <w:name w:val="Hyperlink"/>
    <w:basedOn w:val="DefaultParagraphFont"/>
    <w:uiPriority w:val="99"/>
    <w:qFormat/>
    <w:rsid w:val="00C91F2A"/>
    <w:rPr>
      <w:color w:val="16949E" w:themeColor="accent3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E82ABD"/>
    <w:pPr>
      <w:tabs>
        <w:tab w:val="right" w:leader="dot" w:pos="8910"/>
      </w:tabs>
      <w:spacing w:after="100"/>
      <w:ind w:left="1166" w:right="720" w:hanging="720"/>
    </w:pPr>
  </w:style>
  <w:style w:type="paragraph" w:styleId="TableofFigures">
    <w:name w:val="table of figures"/>
    <w:basedOn w:val="Normal"/>
    <w:next w:val="Normal"/>
    <w:uiPriority w:val="99"/>
    <w:unhideWhenUsed/>
    <w:rsid w:val="00252FE7"/>
    <w:pPr>
      <w:spacing w:after="0"/>
      <w:ind w:left="720" w:right="720" w:hanging="720"/>
    </w:pPr>
    <w:rPr>
      <w:b/>
      <w:smallCaps/>
    </w:rPr>
  </w:style>
  <w:style w:type="character" w:styleId="CommentReference">
    <w:name w:val="annotation reference"/>
    <w:basedOn w:val="DefaultParagraphFont"/>
    <w:uiPriority w:val="99"/>
    <w:semiHidden/>
    <w:unhideWhenUsed/>
    <w:rsid w:val="002C26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266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266B"/>
    <w:rPr>
      <w:rFonts w:cstheme="minorBidi"/>
      <w:sz w:val="20"/>
      <w:szCs w:val="20"/>
      <w:lang w:eastAsia="en-US" w:bidi="en-US"/>
    </w:rPr>
  </w:style>
  <w:style w:type="paragraph" w:customStyle="1" w:styleId="TOCTitle">
    <w:name w:val="T.O.C. Title"/>
    <w:basedOn w:val="Normal"/>
    <w:uiPriority w:val="15"/>
    <w:rsid w:val="00303AE1"/>
    <w:pPr>
      <w:keepNext/>
      <w:tabs>
        <w:tab w:val="left" w:pos="9360"/>
      </w:tabs>
      <w:spacing w:after="0"/>
      <w:ind w:hanging="86"/>
      <w:jc w:val="center"/>
    </w:pPr>
    <w:rPr>
      <w:rFonts w:ascii="Arial Bold" w:hAnsi="Arial Bold" w:cs="Arial"/>
      <w:b/>
      <w:color w:val="0F673B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5"/>
    <w:rsid w:val="008D0CE8"/>
    <w:rPr>
      <w:rFonts w:ascii="Arial Bold" w:hAnsi="Arial Bold"/>
      <w:b/>
      <w:noProof/>
      <w:color w:val="004625" w:themeColor="text2"/>
      <w:sz w:val="36"/>
      <w:szCs w:val="36"/>
      <w:lang w:eastAsia="en-US"/>
    </w:rPr>
  </w:style>
  <w:style w:type="paragraph" w:styleId="TOCHeading">
    <w:name w:val="TOC Heading"/>
    <w:basedOn w:val="Heading1"/>
    <w:next w:val="Normal"/>
    <w:uiPriority w:val="39"/>
    <w:unhideWhenUsed/>
    <w:rsid w:val="002C266B"/>
    <w:pPr>
      <w:outlineLvl w:val="9"/>
    </w:pPr>
  </w:style>
  <w:style w:type="paragraph" w:styleId="TOC4">
    <w:name w:val="toc 4"/>
    <w:basedOn w:val="Normal"/>
    <w:next w:val="Normal"/>
    <w:autoRedefine/>
    <w:uiPriority w:val="39"/>
    <w:unhideWhenUsed/>
    <w:rsid w:val="004E6EDF"/>
    <w:pPr>
      <w:ind w:left="480"/>
    </w:pPr>
    <w:rPr>
      <w:rFonts w:asciiTheme="minorHAnsi" w:hAnsi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E6EDF"/>
    <w:pPr>
      <w:ind w:left="72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E6EDF"/>
    <w:pPr>
      <w:ind w:left="96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E6EDF"/>
    <w:pPr>
      <w:ind w:left="12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E6EDF"/>
    <w:pPr>
      <w:ind w:left="144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E6EDF"/>
    <w:pPr>
      <w:ind w:left="1680"/>
    </w:pPr>
    <w:rPr>
      <w:rFonts w:asciiTheme="minorHAnsi" w:hAnsiTheme="minorHAnsi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472B7F"/>
    <w:rPr>
      <w:rFonts w:ascii="Arial" w:hAnsi="Arial"/>
      <w:color w:val="16949E" w:themeColor="accent3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3C76B9"/>
    <w:pPr>
      <w:spacing w:after="0" w:line="240" w:lineRule="auto"/>
      <w:jc w:val="left"/>
    </w:pPr>
    <w:rPr>
      <w:rFonts w:cs="Arial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76B9"/>
    <w:rPr>
      <w:rFonts w:ascii="Arial" w:hAnsi="Arial" w:cs="Arial"/>
      <w:sz w:val="18"/>
      <w:szCs w:val="18"/>
      <w:lang w:eastAsia="en-US"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C266B"/>
    <w:rPr>
      <w:vertAlign w:val="superscript"/>
    </w:rPr>
  </w:style>
  <w:style w:type="paragraph" w:styleId="Caption">
    <w:name w:val="caption"/>
    <w:basedOn w:val="Normal"/>
    <w:next w:val="Normal"/>
    <w:link w:val="CaptionChar"/>
    <w:uiPriority w:val="13"/>
    <w:qFormat/>
    <w:rsid w:val="00DA1AE9"/>
    <w:pPr>
      <w:keepNext/>
      <w:spacing w:before="240" w:after="60" w:line="240" w:lineRule="auto"/>
      <w:jc w:val="center"/>
    </w:pPr>
    <w:rPr>
      <w:rFonts w:ascii="Arial Bold" w:hAnsi="Arial Bold"/>
      <w:b/>
      <w:bCs/>
      <w:color w:val="046A38" w:themeColor="accent2"/>
      <w:sz w:val="24"/>
      <w:szCs w:val="18"/>
    </w:rPr>
  </w:style>
  <w:style w:type="paragraph" w:styleId="NormalWeb">
    <w:name w:val="Normal (Web)"/>
    <w:basedOn w:val="Normal"/>
    <w:uiPriority w:val="99"/>
    <w:unhideWhenUsed/>
    <w:rsid w:val="00346BEF"/>
    <w:pPr>
      <w:spacing w:before="100" w:beforeAutospacing="1" w:after="100" w:afterAutospacing="1"/>
    </w:pPr>
    <w:rPr>
      <w:rFonts w:ascii="Times" w:hAnsi="Times"/>
      <w:szCs w:val="20"/>
    </w:rPr>
  </w:style>
  <w:style w:type="character" w:customStyle="1" w:styleId="Heading2Char">
    <w:name w:val="Heading 2 Char"/>
    <w:basedOn w:val="DefaultParagraphFont"/>
    <w:link w:val="Heading2"/>
    <w:uiPriority w:val="6"/>
    <w:rsid w:val="008D0CE8"/>
    <w:rPr>
      <w:rFonts w:ascii="Arial Bold" w:eastAsiaTheme="majorEastAsia" w:hAnsi="Arial Bold" w:cstheme="majorBidi"/>
      <w:b/>
      <w:bCs/>
      <w:smallCaps/>
      <w:color w:val="046A38" w:themeColor="accent2"/>
      <w:sz w:val="28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7"/>
    <w:rsid w:val="008D0CE8"/>
    <w:rPr>
      <w:rFonts w:ascii="Arial Bold" w:eastAsiaTheme="majorEastAsia" w:hAnsi="Arial Bold" w:cstheme="majorBidi"/>
      <w:b/>
      <w:bCs/>
      <w:color w:val="54A880"/>
      <w:szCs w:val="22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8"/>
    <w:rsid w:val="000506CC"/>
    <w:rPr>
      <w:rFonts w:ascii="Arial" w:eastAsiaTheme="majorEastAsia" w:hAnsi="Arial" w:cstheme="majorBidi"/>
      <w:b/>
      <w:bCs/>
      <w:iCs/>
      <w:color w:val="54A880"/>
      <w:szCs w:val="22"/>
      <w:lang w:eastAsia="en-US" w:bidi="en-US"/>
    </w:rPr>
  </w:style>
  <w:style w:type="character" w:customStyle="1" w:styleId="Heading5Char">
    <w:name w:val="Heading 5 Char"/>
    <w:basedOn w:val="DefaultParagraphFont"/>
    <w:link w:val="Heading5"/>
    <w:uiPriority w:val="22"/>
    <w:rsid w:val="00C2541A"/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eastAsia="en-US" w:bidi="en-US"/>
    </w:rPr>
  </w:style>
  <w:style w:type="character" w:customStyle="1" w:styleId="Heading6Char">
    <w:name w:val="Heading 6 Char"/>
    <w:basedOn w:val="DefaultParagraphFont"/>
    <w:link w:val="Heading6"/>
    <w:uiPriority w:val="21"/>
    <w:rsid w:val="00C2541A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eastAsia="en-US" w:bidi="en-US"/>
    </w:rPr>
  </w:style>
  <w:style w:type="character" w:customStyle="1" w:styleId="Heading7Char">
    <w:name w:val="Heading 7 Char"/>
    <w:basedOn w:val="DefaultParagraphFont"/>
    <w:link w:val="Heading7"/>
    <w:uiPriority w:val="21"/>
    <w:semiHidden/>
    <w:rsid w:val="00C2541A"/>
    <w:rPr>
      <w:rFonts w:asciiTheme="majorHAnsi" w:eastAsiaTheme="majorEastAsia" w:hAnsiTheme="majorHAnsi" w:cstheme="majorBidi"/>
      <w:i/>
      <w:iCs/>
      <w:sz w:val="22"/>
      <w:szCs w:val="22"/>
      <w:lang w:eastAsia="en-US" w:bidi="en-US"/>
    </w:rPr>
  </w:style>
  <w:style w:type="character" w:customStyle="1" w:styleId="Heading8Char">
    <w:name w:val="Heading 8 Char"/>
    <w:basedOn w:val="DefaultParagraphFont"/>
    <w:link w:val="Heading8"/>
    <w:uiPriority w:val="21"/>
    <w:semiHidden/>
    <w:rsid w:val="00C2541A"/>
    <w:rPr>
      <w:rFonts w:asciiTheme="majorHAnsi" w:eastAsiaTheme="majorEastAsia" w:hAnsiTheme="majorHAnsi" w:cstheme="majorBidi"/>
      <w:sz w:val="22"/>
      <w:szCs w:val="20"/>
      <w:lang w:eastAsia="en-US" w:bidi="en-US"/>
    </w:rPr>
  </w:style>
  <w:style w:type="character" w:customStyle="1" w:styleId="Heading9Char">
    <w:name w:val="Heading 9 Char"/>
    <w:basedOn w:val="DefaultParagraphFont"/>
    <w:link w:val="Heading9"/>
    <w:uiPriority w:val="23"/>
    <w:rsid w:val="00C2541A"/>
    <w:rPr>
      <w:rFonts w:asciiTheme="majorHAnsi" w:eastAsiaTheme="majorEastAsia" w:hAnsiTheme="majorHAnsi" w:cstheme="majorBidi"/>
      <w:i/>
      <w:iCs/>
      <w:spacing w:val="5"/>
      <w:sz w:val="22"/>
      <w:szCs w:val="20"/>
      <w:lang w:eastAsia="en-US" w:bidi="en-US"/>
    </w:rPr>
  </w:style>
  <w:style w:type="paragraph" w:styleId="Title">
    <w:name w:val="Title"/>
    <w:basedOn w:val="Normal"/>
    <w:next w:val="Normal"/>
    <w:link w:val="TitleChar"/>
    <w:uiPriority w:val="25"/>
    <w:rsid w:val="005F085D"/>
    <w:pPr>
      <w:spacing w:after="280" w:line="520" w:lineRule="exact"/>
    </w:pPr>
    <w:rPr>
      <w:rFonts w:cs="Arial"/>
      <w:b/>
      <w:color w:val="0B764A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5"/>
    <w:rsid w:val="00C2541A"/>
    <w:rPr>
      <w:rFonts w:ascii="Arial" w:hAnsi="Arial" w:cs="Arial"/>
      <w:b/>
      <w:color w:val="0B764A"/>
      <w:sz w:val="52"/>
      <w:szCs w:val="52"/>
      <w:lang w:eastAsia="en-US" w:bidi="en-US"/>
    </w:rPr>
  </w:style>
  <w:style w:type="character" w:styleId="Strong">
    <w:name w:val="Strong"/>
    <w:uiPriority w:val="18"/>
    <w:qFormat/>
    <w:rsid w:val="002C266B"/>
    <w:rPr>
      <w:b/>
      <w:bCs/>
    </w:rPr>
  </w:style>
  <w:style w:type="character" w:styleId="Emphasis">
    <w:name w:val="Emphasis"/>
    <w:uiPriority w:val="17"/>
    <w:qFormat/>
    <w:rsid w:val="002C266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20"/>
    <w:rsid w:val="002C266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15"/>
    <w:qFormat/>
    <w:rsid w:val="002C266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15"/>
    <w:rsid w:val="00C2541A"/>
    <w:rPr>
      <w:rFonts w:ascii="Arial" w:hAnsi="Arial" w:cstheme="minorBidi"/>
      <w:i/>
      <w:iCs/>
      <w:sz w:val="22"/>
      <w:szCs w:val="22"/>
      <w:lang w:eastAsia="en-US" w:bidi="en-US"/>
    </w:rPr>
  </w:style>
  <w:style w:type="paragraph" w:styleId="IntenseQuote">
    <w:name w:val="Intense Quote"/>
    <w:basedOn w:val="Normal"/>
    <w:next w:val="Normal"/>
    <w:link w:val="IntenseQuoteChar"/>
    <w:uiPriority w:val="16"/>
    <w:qFormat/>
    <w:rsid w:val="002C266B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6"/>
    <w:rsid w:val="00C2541A"/>
    <w:rPr>
      <w:rFonts w:ascii="Arial" w:hAnsi="Arial" w:cstheme="minorBidi"/>
      <w:b/>
      <w:bCs/>
      <w:i/>
      <w:iCs/>
      <w:sz w:val="22"/>
      <w:szCs w:val="22"/>
      <w:lang w:eastAsia="en-US" w:bidi="en-US"/>
    </w:rPr>
  </w:style>
  <w:style w:type="character" w:styleId="SubtleEmphasis">
    <w:name w:val="Subtle Emphasis"/>
    <w:uiPriority w:val="17"/>
    <w:qFormat/>
    <w:rsid w:val="002C266B"/>
    <w:rPr>
      <w:i/>
      <w:iCs/>
    </w:rPr>
  </w:style>
  <w:style w:type="character" w:styleId="IntenseEmphasis">
    <w:name w:val="Intense Emphasis"/>
    <w:uiPriority w:val="17"/>
    <w:qFormat/>
    <w:rsid w:val="002C266B"/>
    <w:rPr>
      <w:b/>
      <w:bCs/>
    </w:rPr>
  </w:style>
  <w:style w:type="character" w:styleId="SubtleReference">
    <w:name w:val="Subtle Reference"/>
    <w:uiPriority w:val="17"/>
    <w:qFormat/>
    <w:rsid w:val="002C266B"/>
    <w:rPr>
      <w:smallCaps/>
    </w:rPr>
  </w:style>
  <w:style w:type="character" w:styleId="IntenseReference">
    <w:name w:val="Intense Reference"/>
    <w:uiPriority w:val="18"/>
    <w:qFormat/>
    <w:rsid w:val="002C266B"/>
    <w:rPr>
      <w:smallCaps/>
      <w:spacing w:val="5"/>
      <w:u w:val="single"/>
    </w:rPr>
  </w:style>
  <w:style w:type="character" w:styleId="BookTitle">
    <w:name w:val="Book Title"/>
    <w:uiPriority w:val="19"/>
    <w:qFormat/>
    <w:rsid w:val="002C266B"/>
    <w:rPr>
      <w:i/>
      <w:i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2C266B"/>
    <w:rPr>
      <w:color w:val="808080"/>
    </w:rPr>
  </w:style>
  <w:style w:type="numbering" w:customStyle="1" w:styleId="Style1">
    <w:name w:val="Style1"/>
    <w:uiPriority w:val="99"/>
    <w:rsid w:val="002C266B"/>
    <w:pPr>
      <w:numPr>
        <w:numId w:val="1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6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66B"/>
    <w:rPr>
      <w:rFonts w:cstheme="minorBidi"/>
      <w:b/>
      <w:bCs/>
      <w:sz w:val="20"/>
      <w:szCs w:val="20"/>
      <w:lang w:eastAsia="en-US" w:bidi="en-US"/>
    </w:rPr>
  </w:style>
  <w:style w:type="paragraph" w:customStyle="1" w:styleId="ApHeading1">
    <w:name w:val="Ap Heading 1"/>
    <w:basedOn w:val="Normal"/>
    <w:next w:val="Normal"/>
    <w:link w:val="ApHeading1Char"/>
    <w:uiPriority w:val="9"/>
    <w:qFormat/>
    <w:rsid w:val="00CB14F3"/>
    <w:pPr>
      <w:numPr>
        <w:numId w:val="2"/>
      </w:numPr>
      <w:spacing w:after="0"/>
      <w:outlineLvl w:val="0"/>
    </w:pPr>
    <w:rPr>
      <w:rFonts w:ascii="Arial Bold" w:eastAsia="MS Gothic" w:hAnsi="Arial Bold" w:cs="Times New Roman"/>
      <w:b/>
      <w:bCs/>
      <w:color w:val="12305C"/>
      <w:sz w:val="36"/>
      <w:szCs w:val="28"/>
      <w:lang w:bidi="ar-SA"/>
    </w:rPr>
  </w:style>
  <w:style w:type="character" w:customStyle="1" w:styleId="ApHeading1Char">
    <w:name w:val="Ap Heading 1 Char"/>
    <w:link w:val="ApHeading1"/>
    <w:uiPriority w:val="9"/>
    <w:rsid w:val="00CB14F3"/>
    <w:rPr>
      <w:rFonts w:ascii="Arial Bold" w:eastAsia="MS Gothic" w:hAnsi="Arial Bold"/>
      <w:b/>
      <w:bCs/>
      <w:color w:val="12305C"/>
      <w:sz w:val="36"/>
      <w:szCs w:val="28"/>
      <w:lang w:eastAsia="en-US"/>
    </w:rPr>
  </w:style>
  <w:style w:type="paragraph" w:customStyle="1" w:styleId="ApHeading2">
    <w:name w:val="Ap Heading 2"/>
    <w:basedOn w:val="Normal"/>
    <w:next w:val="Normal"/>
    <w:uiPriority w:val="10"/>
    <w:qFormat/>
    <w:rsid w:val="00CB14F3"/>
    <w:pPr>
      <w:numPr>
        <w:ilvl w:val="1"/>
        <w:numId w:val="2"/>
      </w:numPr>
      <w:spacing w:before="400" w:after="60"/>
      <w:outlineLvl w:val="1"/>
    </w:pPr>
    <w:rPr>
      <w:rFonts w:ascii="Arial Bold" w:eastAsia="MS Mincho" w:hAnsi="Arial Bold" w:cs="Times New Roman"/>
      <w:b/>
      <w:smallCaps/>
      <w:color w:val="12305C"/>
      <w:sz w:val="28"/>
      <w:szCs w:val="20"/>
      <w:lang w:bidi="ar-SA"/>
    </w:rPr>
  </w:style>
  <w:style w:type="paragraph" w:customStyle="1" w:styleId="ApHeading3">
    <w:name w:val="Ap Heading 3"/>
    <w:basedOn w:val="Normal"/>
    <w:next w:val="Normal"/>
    <w:uiPriority w:val="11"/>
    <w:qFormat/>
    <w:rsid w:val="00CB14F3"/>
    <w:pPr>
      <w:numPr>
        <w:ilvl w:val="2"/>
        <w:numId w:val="2"/>
      </w:numPr>
      <w:spacing w:before="240" w:after="60"/>
      <w:outlineLvl w:val="2"/>
    </w:pPr>
    <w:rPr>
      <w:rFonts w:ascii="Arial Bold" w:eastAsia="MS Mincho" w:hAnsi="Arial Bold" w:cs="Times New Roman"/>
      <w:b/>
      <w:color w:val="115B6B" w:themeColor="accent5"/>
      <w:sz w:val="24"/>
      <w:szCs w:val="20"/>
      <w:lang w:bidi="ar-SA"/>
    </w:rPr>
  </w:style>
  <w:style w:type="paragraph" w:customStyle="1" w:styleId="ApHeading4">
    <w:name w:val="Ap Heading 4"/>
    <w:basedOn w:val="Normal"/>
    <w:next w:val="Normal"/>
    <w:uiPriority w:val="12"/>
    <w:qFormat/>
    <w:rsid w:val="000506CC"/>
    <w:pPr>
      <w:numPr>
        <w:ilvl w:val="3"/>
        <w:numId w:val="2"/>
      </w:numPr>
      <w:spacing w:before="200" w:after="60"/>
      <w:outlineLvl w:val="3"/>
    </w:pPr>
    <w:rPr>
      <w:rFonts w:eastAsia="MS Mincho" w:cs="Times New Roman"/>
      <w:b/>
      <w:color w:val="16949E" w:themeColor="accent3"/>
      <w:sz w:val="24"/>
      <w:szCs w:val="20"/>
      <w:lang w:bidi="ar-SA"/>
    </w:rPr>
  </w:style>
  <w:style w:type="paragraph" w:customStyle="1" w:styleId="Normalaftertable">
    <w:name w:val="Normal after table"/>
    <w:basedOn w:val="Normal"/>
    <w:next w:val="Normal"/>
    <w:uiPriority w:val="1"/>
    <w:qFormat/>
    <w:rsid w:val="002E6423"/>
    <w:pPr>
      <w:spacing w:before="240"/>
    </w:pPr>
  </w:style>
  <w:style w:type="paragraph" w:customStyle="1" w:styleId="Tablecenter">
    <w:name w:val="Table center"/>
    <w:basedOn w:val="Normal"/>
    <w:uiPriority w:val="20"/>
    <w:rsid w:val="00C06852"/>
    <w:pPr>
      <w:spacing w:after="0" w:line="280" w:lineRule="exact"/>
      <w:jc w:val="center"/>
    </w:pPr>
    <w:rPr>
      <w:szCs w:val="20"/>
    </w:rPr>
  </w:style>
  <w:style w:type="paragraph" w:customStyle="1" w:styleId="PullQuote">
    <w:name w:val="Pull Quote"/>
    <w:basedOn w:val="Normal"/>
    <w:uiPriority w:val="15"/>
    <w:qFormat/>
    <w:rsid w:val="00CE5156"/>
    <w:pPr>
      <w:spacing w:line="360" w:lineRule="exact"/>
      <w:ind w:left="288" w:right="18"/>
    </w:pPr>
    <w:rPr>
      <w:color w:val="0F673B"/>
      <w:sz w:val="28"/>
      <w:szCs w:val="28"/>
    </w:rPr>
  </w:style>
  <w:style w:type="paragraph" w:customStyle="1" w:styleId="TableSubcaption">
    <w:name w:val="Table Subcaption"/>
    <w:basedOn w:val="Normal"/>
    <w:next w:val="Normal"/>
    <w:link w:val="TableSubcaptionChar"/>
    <w:uiPriority w:val="13"/>
    <w:qFormat/>
    <w:rsid w:val="00DA1AE9"/>
    <w:pPr>
      <w:spacing w:after="60"/>
      <w:jc w:val="center"/>
    </w:pPr>
    <w:rPr>
      <w:color w:val="046A38" w:themeColor="accent2"/>
      <w:sz w:val="20"/>
      <w:szCs w:val="20"/>
    </w:rPr>
  </w:style>
  <w:style w:type="paragraph" w:customStyle="1" w:styleId="CrossRef">
    <w:name w:val="CrossRef"/>
    <w:basedOn w:val="Normal"/>
    <w:next w:val="Normal"/>
    <w:link w:val="CrossRefChar"/>
    <w:uiPriority w:val="4"/>
    <w:qFormat/>
    <w:rsid w:val="00C91F2A"/>
    <w:rPr>
      <w:color w:val="16949E" w:themeColor="accent3"/>
    </w:rPr>
  </w:style>
  <w:style w:type="character" w:customStyle="1" w:styleId="CrossRefChar">
    <w:name w:val="CrossRef Char"/>
    <w:basedOn w:val="DefaultParagraphFont"/>
    <w:link w:val="CrossRef"/>
    <w:uiPriority w:val="4"/>
    <w:rsid w:val="00C2541A"/>
    <w:rPr>
      <w:rFonts w:ascii="Arial" w:hAnsi="Arial" w:cstheme="minorBidi"/>
      <w:color w:val="16949E" w:themeColor="accent3"/>
      <w:sz w:val="22"/>
      <w:szCs w:val="22"/>
      <w:lang w:eastAsia="en-US" w:bidi="en-US"/>
    </w:rPr>
  </w:style>
  <w:style w:type="paragraph" w:customStyle="1" w:styleId="Textbox">
    <w:name w:val="Textbox"/>
    <w:basedOn w:val="Normal"/>
    <w:uiPriority w:val="16"/>
    <w:qFormat/>
    <w:rsid w:val="008C2E28"/>
    <w:pPr>
      <w:spacing w:after="0"/>
      <w:jc w:val="center"/>
    </w:pPr>
    <w:rPr>
      <w:rFonts w:cs="Arial"/>
      <w:color w:val="FFFFFF" w:themeColor="background1"/>
      <w:sz w:val="24"/>
      <w:szCs w:val="24"/>
    </w:rPr>
  </w:style>
  <w:style w:type="paragraph" w:customStyle="1" w:styleId="KeyFindings">
    <w:name w:val="Key Findings"/>
    <w:basedOn w:val="ListParagraph"/>
    <w:link w:val="KeyFindingsChar"/>
    <w:uiPriority w:val="3"/>
    <w:qFormat/>
    <w:rsid w:val="00EF41AF"/>
    <w:pPr>
      <w:numPr>
        <w:numId w:val="7"/>
      </w:numPr>
    </w:pPr>
    <w:rPr>
      <w:szCs w:val="20"/>
    </w:rPr>
  </w:style>
  <w:style w:type="paragraph" w:customStyle="1" w:styleId="RecommendationsKeyFindings">
    <w:name w:val="Recommendations/Key Findings"/>
    <w:basedOn w:val="Normal"/>
    <w:next w:val="Normal"/>
    <w:link w:val="RecommendationsKeyFindingsChar"/>
    <w:uiPriority w:val="2"/>
    <w:qFormat/>
    <w:rsid w:val="00CF3FA7"/>
    <w:rPr>
      <w:b/>
      <w:color w:val="046A38" w:themeColor="accent2"/>
      <w:szCs w:val="20"/>
    </w:rPr>
  </w:style>
  <w:style w:type="character" w:customStyle="1" w:styleId="ListParagraphChar">
    <w:name w:val="List Paragraph Char"/>
    <w:aliases w:val="TT - Numbered List Paragraph Char,Bullet Styles para Char,TOC etc. Char,Bulleted List Paragraph Char"/>
    <w:basedOn w:val="DefaultParagraphFont"/>
    <w:link w:val="ListParagraph"/>
    <w:uiPriority w:val="20"/>
    <w:rsid w:val="00C2541A"/>
    <w:rPr>
      <w:rFonts w:ascii="Arial" w:hAnsi="Arial" w:cstheme="minorBidi"/>
      <w:sz w:val="22"/>
      <w:szCs w:val="22"/>
      <w:lang w:eastAsia="en-US" w:bidi="en-US"/>
    </w:rPr>
  </w:style>
  <w:style w:type="character" w:customStyle="1" w:styleId="KeyFindingsChar">
    <w:name w:val="Key Findings Char"/>
    <w:basedOn w:val="ListParagraphChar"/>
    <w:link w:val="KeyFindings"/>
    <w:uiPriority w:val="3"/>
    <w:rsid w:val="00C2541A"/>
    <w:rPr>
      <w:rFonts w:ascii="Arial" w:hAnsi="Arial" w:cstheme="minorBidi"/>
      <w:sz w:val="22"/>
      <w:szCs w:val="20"/>
      <w:lang w:eastAsia="en-US" w:bidi="en-US"/>
    </w:rPr>
  </w:style>
  <w:style w:type="character" w:customStyle="1" w:styleId="RecommendationsKeyFindingsChar">
    <w:name w:val="Recommendations/Key Findings Char"/>
    <w:basedOn w:val="DefaultParagraphFont"/>
    <w:link w:val="RecommendationsKeyFindings"/>
    <w:uiPriority w:val="2"/>
    <w:rsid w:val="00C2541A"/>
    <w:rPr>
      <w:rFonts w:ascii="Arial" w:hAnsi="Arial" w:cstheme="minorBidi"/>
      <w:b/>
      <w:color w:val="046A38" w:themeColor="accent2"/>
      <w:sz w:val="22"/>
      <w:szCs w:val="20"/>
      <w:lang w:eastAsia="en-US" w:bidi="en-US"/>
    </w:rPr>
  </w:style>
  <w:style w:type="paragraph" w:styleId="Revision">
    <w:name w:val="Revision"/>
    <w:hidden/>
    <w:uiPriority w:val="99"/>
    <w:semiHidden/>
    <w:rsid w:val="00BB6A8D"/>
    <w:rPr>
      <w:rFonts w:ascii="Arial" w:hAnsi="Arial" w:cstheme="minorBidi"/>
      <w:sz w:val="22"/>
      <w:szCs w:val="22"/>
      <w:lang w:eastAsia="en-US" w:bidi="en-US"/>
    </w:rPr>
  </w:style>
  <w:style w:type="character" w:styleId="UnresolvedMention">
    <w:name w:val="Unresolved Mention"/>
    <w:basedOn w:val="DefaultParagraphFont"/>
    <w:uiPriority w:val="99"/>
    <w:unhideWhenUsed/>
    <w:rsid w:val="00F76BA7"/>
    <w:rPr>
      <w:color w:val="808080"/>
      <w:shd w:val="clear" w:color="auto" w:fill="E6E6E6"/>
    </w:rPr>
  </w:style>
  <w:style w:type="paragraph" w:customStyle="1" w:styleId="ApCaption">
    <w:name w:val="Ap Caption"/>
    <w:basedOn w:val="Caption"/>
    <w:link w:val="ApCaptionChar"/>
    <w:uiPriority w:val="14"/>
    <w:qFormat/>
    <w:rsid w:val="00086762"/>
    <w:rPr>
      <w:color w:val="115B6B" w:themeColor="accent5"/>
    </w:rPr>
  </w:style>
  <w:style w:type="paragraph" w:customStyle="1" w:styleId="ApSubcaption">
    <w:name w:val="Ap Subcaption"/>
    <w:basedOn w:val="TableSubcaption"/>
    <w:link w:val="ApSubcaptionChar"/>
    <w:uiPriority w:val="15"/>
    <w:qFormat/>
    <w:rsid w:val="00E82FB9"/>
    <w:rPr>
      <w:color w:val="115B6B" w:themeColor="accent5"/>
    </w:rPr>
  </w:style>
  <w:style w:type="character" w:customStyle="1" w:styleId="CaptionChar">
    <w:name w:val="Caption Char"/>
    <w:basedOn w:val="DefaultParagraphFont"/>
    <w:link w:val="Caption"/>
    <w:uiPriority w:val="13"/>
    <w:rsid w:val="00086762"/>
    <w:rPr>
      <w:rFonts w:ascii="Arial Bold" w:hAnsi="Arial Bold" w:cstheme="minorBidi"/>
      <w:b/>
      <w:bCs/>
      <w:color w:val="046A38" w:themeColor="accent2"/>
      <w:szCs w:val="18"/>
      <w:lang w:eastAsia="en-US" w:bidi="en-US"/>
    </w:rPr>
  </w:style>
  <w:style w:type="character" w:customStyle="1" w:styleId="ApCaptionChar">
    <w:name w:val="Ap Caption Char"/>
    <w:basedOn w:val="CaptionChar"/>
    <w:link w:val="ApCaption"/>
    <w:uiPriority w:val="14"/>
    <w:rsid w:val="00086762"/>
    <w:rPr>
      <w:rFonts w:ascii="Arial Bold" w:hAnsi="Arial Bold" w:cstheme="minorBidi"/>
      <w:b/>
      <w:bCs/>
      <w:color w:val="115B6B" w:themeColor="accent5"/>
      <w:szCs w:val="18"/>
      <w:lang w:eastAsia="en-US" w:bidi="en-US"/>
    </w:rPr>
  </w:style>
  <w:style w:type="character" w:customStyle="1" w:styleId="TableSubcaptionChar">
    <w:name w:val="Table Subcaption Char"/>
    <w:basedOn w:val="DefaultParagraphFont"/>
    <w:link w:val="TableSubcaption"/>
    <w:uiPriority w:val="13"/>
    <w:rsid w:val="00E82FB9"/>
    <w:rPr>
      <w:rFonts w:ascii="Arial" w:hAnsi="Arial" w:cstheme="minorBidi"/>
      <w:color w:val="046A38" w:themeColor="accent2"/>
      <w:sz w:val="20"/>
      <w:szCs w:val="20"/>
      <w:lang w:eastAsia="en-US" w:bidi="en-US"/>
    </w:rPr>
  </w:style>
  <w:style w:type="character" w:customStyle="1" w:styleId="ApSubcaptionChar">
    <w:name w:val="Ap Subcaption Char"/>
    <w:basedOn w:val="TableSubcaptionChar"/>
    <w:link w:val="ApSubcaption"/>
    <w:uiPriority w:val="15"/>
    <w:rsid w:val="00E82FB9"/>
    <w:rPr>
      <w:rFonts w:ascii="Arial" w:hAnsi="Arial" w:cstheme="minorBidi"/>
      <w:color w:val="115B6B" w:themeColor="accent5"/>
      <w:sz w:val="20"/>
      <w:szCs w:val="20"/>
      <w:lang w:eastAsia="en-US" w:bidi="en-US"/>
    </w:rPr>
  </w:style>
  <w:style w:type="table" w:styleId="PlainTable4">
    <w:name w:val="Plain Table 4"/>
    <w:basedOn w:val="TableNormal"/>
    <w:uiPriority w:val="44"/>
    <w:rsid w:val="00AB62B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BodyEven">
    <w:name w:val="Body Even"/>
    <w:basedOn w:val="TableNormal"/>
    <w:uiPriority w:val="99"/>
    <w:rsid w:val="004B4FF5"/>
    <w:pPr>
      <w:spacing w:line="280" w:lineRule="exact"/>
    </w:pPr>
    <w:rPr>
      <w:rFonts w:ascii="Arial" w:hAnsi="Arial"/>
      <w:sz w:val="20"/>
    </w:rPr>
    <w:tblPr>
      <w:tblStyleRowBandSize w:val="1"/>
      <w:jc w:val="center"/>
    </w:tblPr>
    <w:trPr>
      <w:jc w:val="center"/>
    </w:trPr>
    <w:tblStylePr w:type="firstRow">
      <w:rPr>
        <w:b/>
        <w:color w:val="FFFFFF" w:themeColor="background1"/>
      </w:rPr>
      <w:tblPr/>
      <w:tcPr>
        <w:shd w:val="clear" w:color="auto" w:fill="046A38" w:themeFill="accent2"/>
      </w:tcPr>
    </w:tblStylePr>
    <w:tblStylePr w:type="firstCol">
      <w:tblPr>
        <w:jc w:val="left"/>
      </w:tblPr>
      <w:trPr>
        <w:jc w:val="left"/>
      </w:trPr>
    </w:tblStylePr>
    <w:tblStylePr w:type="band2Horz">
      <w:rPr>
        <w:rFonts w:ascii="Arial" w:hAnsi="Arial"/>
        <w:sz w:val="20"/>
      </w:rPr>
      <w:tblPr/>
      <w:tcPr>
        <w:shd w:val="clear" w:color="auto" w:fill="CCCCCC"/>
      </w:tcPr>
    </w:tblStylePr>
  </w:style>
  <w:style w:type="table" w:customStyle="1" w:styleId="BodyOdd">
    <w:name w:val="Body Odd"/>
    <w:basedOn w:val="BodyEven"/>
    <w:uiPriority w:val="99"/>
    <w:rsid w:val="004B4FF5"/>
    <w:tblPr>
      <w:tblStyleColBandSize w:val="1"/>
    </w:tblPr>
    <w:tcPr>
      <w:shd w:val="clear" w:color="auto" w:fill="auto"/>
    </w:tcPr>
    <w:tblStylePr w:type="firstRow">
      <w:rPr>
        <w:b/>
        <w:color w:val="FFFFFF" w:themeColor="background1"/>
      </w:rPr>
      <w:tblPr/>
      <w:tcPr>
        <w:shd w:val="clear" w:color="auto" w:fill="046A38"/>
      </w:tcPr>
    </w:tblStylePr>
    <w:tblStylePr w:type="firstCol">
      <w:tblPr>
        <w:jc w:val="left"/>
      </w:tblPr>
      <w:trPr>
        <w:jc w:val="left"/>
      </w:trPr>
    </w:tblStylePr>
    <w:tblStylePr w:type="band1Horz">
      <w:tblPr/>
      <w:tcPr>
        <w:shd w:val="clear" w:color="auto" w:fill="CCCCCC"/>
      </w:tcPr>
    </w:tblStylePr>
    <w:tblStylePr w:type="band2Horz">
      <w:rPr>
        <w:rFonts w:ascii="Arial" w:hAnsi="Arial"/>
        <w:sz w:val="20"/>
      </w:rPr>
      <w:tblPr/>
      <w:tcPr>
        <w:shd w:val="clear" w:color="auto" w:fill="FFFFFF" w:themeFill="background1"/>
      </w:tcPr>
    </w:tblStylePr>
  </w:style>
  <w:style w:type="table" w:customStyle="1" w:styleId="AppendixEven">
    <w:name w:val="Appendix Even"/>
    <w:basedOn w:val="BodyEven"/>
    <w:uiPriority w:val="99"/>
    <w:rsid w:val="004B4FF5"/>
    <w:tblPr/>
    <w:tblStylePr w:type="firstRow">
      <w:rPr>
        <w:b/>
        <w:color w:val="FFFFFF" w:themeColor="background1"/>
      </w:rPr>
      <w:tblPr/>
      <w:tcPr>
        <w:shd w:val="clear" w:color="auto" w:fill="115B6B" w:themeFill="accent5"/>
      </w:tcPr>
    </w:tblStylePr>
    <w:tblStylePr w:type="firstCol">
      <w:tblPr>
        <w:jc w:val="left"/>
      </w:tblPr>
      <w:trPr>
        <w:jc w:val="left"/>
      </w:trPr>
    </w:tblStylePr>
    <w:tblStylePr w:type="band2Horz">
      <w:rPr>
        <w:rFonts w:ascii="Arial" w:hAnsi="Arial"/>
        <w:sz w:val="20"/>
      </w:rPr>
      <w:tblPr/>
      <w:tcPr>
        <w:shd w:val="clear" w:color="auto" w:fill="CCCCCC"/>
      </w:tcPr>
    </w:tblStylePr>
  </w:style>
  <w:style w:type="table" w:customStyle="1" w:styleId="AppendixOdd">
    <w:name w:val="Appendix Odd"/>
    <w:basedOn w:val="AppendixEven"/>
    <w:uiPriority w:val="99"/>
    <w:rsid w:val="004B4FF5"/>
    <w:tblPr>
      <w:tblStyleColBandSize w:val="1"/>
    </w:tblPr>
    <w:tcPr>
      <w:shd w:val="clear" w:color="auto" w:fill="auto"/>
    </w:tcPr>
    <w:tblStylePr w:type="firstRow">
      <w:rPr>
        <w:b/>
        <w:color w:val="FFFFFF" w:themeColor="background1"/>
      </w:rPr>
      <w:tblPr/>
      <w:tcPr>
        <w:shd w:val="clear" w:color="auto" w:fill="115B6B" w:themeFill="accent5"/>
      </w:tcPr>
    </w:tblStylePr>
    <w:tblStylePr w:type="firstCol">
      <w:tblPr>
        <w:jc w:val="left"/>
      </w:tblPr>
      <w:trPr>
        <w:jc w:val="left"/>
      </w:trPr>
    </w:tblStylePr>
    <w:tblStylePr w:type="band1Horz">
      <w:tblPr/>
      <w:tcPr>
        <w:shd w:val="clear" w:color="auto" w:fill="CCCCCC"/>
      </w:tcPr>
    </w:tblStylePr>
    <w:tblStylePr w:type="band2Horz">
      <w:rPr>
        <w:rFonts w:ascii="Arial" w:hAnsi="Arial"/>
        <w:sz w:val="20"/>
      </w:rPr>
      <w:tblPr/>
      <w:tcPr>
        <w:shd w:val="clear" w:color="auto" w:fill="FFFFFF" w:themeFill="background1"/>
      </w:tcPr>
    </w:tblStylePr>
  </w:style>
  <w:style w:type="table" w:styleId="GridTable1Light-Accent2">
    <w:name w:val="Grid Table 1 Light Accent 2"/>
    <w:basedOn w:val="TableNormal"/>
    <w:uiPriority w:val="46"/>
    <w:rsid w:val="00437B7B"/>
    <w:tblPr>
      <w:tblStyleRowBandSize w:val="1"/>
      <w:tblStyleColBandSize w:val="1"/>
      <w:tblBorders>
        <w:top w:val="single" w:sz="4" w:space="0" w:color="64F9B0" w:themeColor="accent2" w:themeTint="66"/>
        <w:left w:val="single" w:sz="4" w:space="0" w:color="64F9B0" w:themeColor="accent2" w:themeTint="66"/>
        <w:bottom w:val="single" w:sz="4" w:space="0" w:color="64F9B0" w:themeColor="accent2" w:themeTint="66"/>
        <w:right w:val="single" w:sz="4" w:space="0" w:color="64F9B0" w:themeColor="accent2" w:themeTint="66"/>
        <w:insideH w:val="single" w:sz="4" w:space="0" w:color="64F9B0" w:themeColor="accent2" w:themeTint="66"/>
        <w:insideV w:val="single" w:sz="4" w:space="0" w:color="64F9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17F68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7F68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">
    <w:name w:val="Mention"/>
    <w:basedOn w:val="DefaultParagraphFont"/>
    <w:uiPriority w:val="99"/>
    <w:unhideWhenUsed/>
    <w:rsid w:val="001F565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967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086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684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08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a-eeac.org/wp-content/uploads/MA20R28-B-NTGRCDP_Final-Report_08Oct2021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nergizect.com/sites/default/files/R4_HES-HESIE%20Process%20Evaluation,%20Final%20Report_4.13.16.pd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a-eeac.org/wp-content/uploads/MA20X04-E-PRODNTG_Res-Products-NTG-Report_FINAL_2021.06.08.pdf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nergizect.com/sites/default/files/2021-03/Final%202021%20PSD%20%28Filed%203-01-2021%29.pdf" TargetMode="External"/><Relationship Id="rId2" Type="http://schemas.openxmlformats.org/officeDocument/2006/relationships/hyperlink" Target="https://ma-eeac.org/wp-content/uploads/MA19X03-B-RSRNTG_Residential-SR-NTG-Report_FINAL_2020.5.28.pdf" TargetMode="External"/><Relationship Id="rId1" Type="http://schemas.openxmlformats.org/officeDocument/2006/relationships/hyperlink" Target="https://www.energizect.com/sites/default/files/2021-03/Final%202021%20PSD%20%28Filed%203-01-2021%29.pdf" TargetMode="External"/><Relationship Id="rId6" Type="http://schemas.openxmlformats.org/officeDocument/2006/relationships/hyperlink" Target="https://ma-eeac.org/wp-content/uploads/MA20R28-B-NTGRCDP_Final-Report_08Oct2021.pdf" TargetMode="External"/><Relationship Id="rId5" Type="http://schemas.openxmlformats.org/officeDocument/2006/relationships/hyperlink" Target="https://www.energizect.com/sites/default/files/2021-04/Final%202021%20Plan%20Update%20%28Refiled%203-15-21%29.pdf" TargetMode="External"/><Relationship Id="rId4" Type="http://schemas.openxmlformats.org/officeDocument/2006/relationships/hyperlink" Target="https://energizect.com/sites/default/files/2022-03/Final%202022%20PSD%20FILED%20%2803-01-2022%29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NMR - Word">
      <a:dk1>
        <a:sysClr val="windowText" lastClr="000000"/>
      </a:dk1>
      <a:lt1>
        <a:srgbClr val="FFFFFF"/>
      </a:lt1>
      <a:dk2>
        <a:srgbClr val="004625"/>
      </a:dk2>
      <a:lt2>
        <a:srgbClr val="FFFFCC"/>
      </a:lt2>
      <a:accent1>
        <a:srgbClr val="808080"/>
      </a:accent1>
      <a:accent2>
        <a:srgbClr val="046A38"/>
      </a:accent2>
      <a:accent3>
        <a:srgbClr val="16949E"/>
      </a:accent3>
      <a:accent4>
        <a:srgbClr val="CAEB13"/>
      </a:accent4>
      <a:accent5>
        <a:srgbClr val="115B6B"/>
      </a:accent5>
      <a:accent6>
        <a:srgbClr val="649429"/>
      </a:accent6>
      <a:hlink>
        <a:srgbClr val="16949E"/>
      </a:hlink>
      <a:folHlink>
        <a:srgbClr val="16949E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custClrLst>
    <a:custClr name="R1">
      <a:srgbClr val="CF1800"/>
    </a:custClr>
    <a:custClr name="G2l">
      <a:srgbClr val="D2EBB5"/>
    </a:custClr>
    <a:custClr name="G3m">
      <a:srgbClr val="54A880"/>
    </a:custClr>
    <a:custClr name="G4m">
      <a:srgbClr val="5F8B76"/>
    </a:custClr>
    <a:custClr name="K3">
      <a:srgbClr val="212721"/>
    </a:custClr>
    <a:custClr name="B1l">
      <a:srgbClr val="A2DCE0"/>
    </a:custClr>
    <a:custClr name="B2m">
      <a:srgbClr val="50818A"/>
    </a:custClr>
    <a:custClr name="B3m">
      <a:srgbClr val="3D567A"/>
    </a:custClr>
    <a:custClr name="B3">
      <a:srgbClr val="12305C"/>
    </a:custClr>
    <a:custClr name="P1">
      <a:srgbClr val="43276B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b051ef0-edd4-46a5-9f74-d6eaace64f71">J72333MUYW4V-1220163651-3656</_dlc_DocId>
    <_dlc_DocIdUrl xmlns="1b051ef0-edd4-46a5-9f74-d6eaace64f71">
      <Url>https://nmrgroupinc.sharepoint.com/CTResidential/_layouts/15/DocIdRedir.aspx?ID=J72333MUYW4V-1220163651-3656</Url>
      <Description>J72333MUYW4V-1220163651-3656</Description>
    </_dlc_DocIdUrl>
    <TaxCatchAll xmlns="1b051ef0-edd4-46a5-9f74-d6eaace64f71" xsi:nil="true"/>
    <lcf76f155ced4ddcb4097134ff3c332f xmlns="15545888-89e3-42ef-bf4e-48e0c3033c5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03490DD4BED45AB5066A8ED8B234B" ma:contentTypeVersion="16" ma:contentTypeDescription="Create a new document." ma:contentTypeScope="" ma:versionID="62533a2daa0a3aefed1cfe7e0e06a6dc">
  <xsd:schema xmlns:xsd="http://www.w3.org/2001/XMLSchema" xmlns:xs="http://www.w3.org/2001/XMLSchema" xmlns:p="http://schemas.microsoft.com/office/2006/metadata/properties" xmlns:ns2="1b051ef0-edd4-46a5-9f74-d6eaace64f71" xmlns:ns3="15545888-89e3-42ef-bf4e-48e0c3033c51" targetNamespace="http://schemas.microsoft.com/office/2006/metadata/properties" ma:root="true" ma:fieldsID="724504c4d169357ef06e61912bfd1870" ns2:_="" ns3:_="">
    <xsd:import namespace="1b051ef0-edd4-46a5-9f74-d6eaace64f71"/>
    <xsd:import namespace="15545888-89e3-42ef-bf4e-48e0c3033c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51ef0-edd4-46a5-9f74-d6eaace64f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d280e23-32a7-4551-a5e3-05f0607f7292}" ma:internalName="TaxCatchAll" ma:showField="CatchAllData" ma:web="1b051ef0-edd4-46a5-9f74-d6eaace64f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45888-89e3-42ef-bf4e-48e0c3033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e1438ef-f31e-47db-a6cd-d01751f8c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4BF0A3-B6BF-44F1-BFD9-3CB3AA2B6699}">
  <ds:schemaRefs>
    <ds:schemaRef ds:uri="http://schemas.microsoft.com/office/2006/metadata/properties"/>
    <ds:schemaRef ds:uri="http://schemas.microsoft.com/office/infopath/2007/PartnerControls"/>
    <ds:schemaRef ds:uri="1b051ef0-edd4-46a5-9f74-d6eaace64f71"/>
    <ds:schemaRef ds:uri="15545888-89e3-42ef-bf4e-48e0c3033c51"/>
  </ds:schemaRefs>
</ds:datastoreItem>
</file>

<file path=customXml/itemProps2.xml><?xml version="1.0" encoding="utf-8"?>
<ds:datastoreItem xmlns:ds="http://schemas.openxmlformats.org/officeDocument/2006/customXml" ds:itemID="{00F735C7-B930-4C09-B7C8-633344229A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0E497B-5BEF-4D40-B95C-73007277B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051ef0-edd4-46a5-9f74-d6eaace64f71"/>
    <ds:schemaRef ds:uri="15545888-89e3-42ef-bf4e-48e0c3033c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CC1A2B-A365-4809-B261-AB139F300C9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5B3867C-D762-4184-90D4-397BF4B493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3620</Words>
  <Characters>20635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Report</vt:lpstr>
    </vt:vector>
  </TitlesOfParts>
  <Company>Microsoft</Company>
  <LinksUpToDate>false</LinksUpToDate>
  <CharactersWithSpaces>24207</CharactersWithSpaces>
  <SharedDoc>false</SharedDoc>
  <HLinks>
    <vt:vector size="36" baseType="variant">
      <vt:variant>
        <vt:i4>8257655</vt:i4>
      </vt:variant>
      <vt:variant>
        <vt:i4>9</vt:i4>
      </vt:variant>
      <vt:variant>
        <vt:i4>0</vt:i4>
      </vt:variant>
      <vt:variant>
        <vt:i4>5</vt:i4>
      </vt:variant>
      <vt:variant>
        <vt:lpwstr>https://www.energizect.com/sites/default/files/2021-04/Final 2021 Plan Update %28Refiled 3-15-21%29.pdf</vt:lpwstr>
      </vt:variant>
      <vt:variant>
        <vt:lpwstr/>
      </vt:variant>
      <vt:variant>
        <vt:i4>3014773</vt:i4>
      </vt:variant>
      <vt:variant>
        <vt:i4>6</vt:i4>
      </vt:variant>
      <vt:variant>
        <vt:i4>0</vt:i4>
      </vt:variant>
      <vt:variant>
        <vt:i4>5</vt:i4>
      </vt:variant>
      <vt:variant>
        <vt:lpwstr>https://www.energizect.com/sites/default/files/2021-03/Final 2021 PSD %28Filed 3-01-2021%29.pdf</vt:lpwstr>
      </vt:variant>
      <vt:variant>
        <vt:lpwstr/>
      </vt:variant>
      <vt:variant>
        <vt:i4>2162707</vt:i4>
      </vt:variant>
      <vt:variant>
        <vt:i4>3</vt:i4>
      </vt:variant>
      <vt:variant>
        <vt:i4>0</vt:i4>
      </vt:variant>
      <vt:variant>
        <vt:i4>5</vt:i4>
      </vt:variant>
      <vt:variant>
        <vt:lpwstr>https://ma-eeac.org/wp-content/uploads/MA19X03-B-RSRNTG_Residential-SR-NTG-Report_FINAL_2020.5.28.pdf</vt:lpwstr>
      </vt:variant>
      <vt:variant>
        <vt:lpwstr/>
      </vt:variant>
      <vt:variant>
        <vt:i4>3014773</vt:i4>
      </vt:variant>
      <vt:variant>
        <vt:i4>0</vt:i4>
      </vt:variant>
      <vt:variant>
        <vt:i4>0</vt:i4>
      </vt:variant>
      <vt:variant>
        <vt:i4>5</vt:i4>
      </vt:variant>
      <vt:variant>
        <vt:lpwstr>https://www.energizect.com/sites/default/files/2021-03/Final 2021 PSD %28Filed 3-01-2021%29.pdf</vt:lpwstr>
      </vt:variant>
      <vt:variant>
        <vt:lpwstr/>
      </vt:variant>
      <vt:variant>
        <vt:i4>7733248</vt:i4>
      </vt:variant>
      <vt:variant>
        <vt:i4>3</vt:i4>
      </vt:variant>
      <vt:variant>
        <vt:i4>0</vt:i4>
      </vt:variant>
      <vt:variant>
        <vt:i4>5</vt:i4>
      </vt:variant>
      <vt:variant>
        <vt:lpwstr>mailto:lwilson-wright@nmrgroupinc.com</vt:lpwstr>
      </vt:variant>
      <vt:variant>
        <vt:lpwstr/>
      </vt:variant>
      <vt:variant>
        <vt:i4>1966132</vt:i4>
      </vt:variant>
      <vt:variant>
        <vt:i4>0</vt:i4>
      </vt:variant>
      <vt:variant>
        <vt:i4>0</vt:i4>
      </vt:variant>
      <vt:variant>
        <vt:i4>5</vt:i4>
      </vt:variant>
      <vt:variant>
        <vt:lpwstr>mailto:jricardo@nmrgroupinc.com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Report</dc:title>
  <dc:creator>Melissa Meek</dc:creator>
  <cp:lastModifiedBy>Lisa Skumatz</cp:lastModifiedBy>
  <cp:revision>3</cp:revision>
  <cp:lastPrinted>2021-01-25T22:15:00Z</cp:lastPrinted>
  <dcterms:created xsi:type="dcterms:W3CDTF">2022-07-01T20:35:00Z</dcterms:created>
  <dcterms:modified xsi:type="dcterms:W3CDTF">2022-07-01T20:35:00Z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0x0101005C103490DD4BED45AB5066A8ED8B234B</vt:lpwstr>
  </property>
  <property fmtid="{D5CDD505-2E9C-101B-9397-08002B2CF9AE}" pid="3" name="MediaServiceImageTags">
    <vt:lpwstr/>
  </property>
  <property fmtid="{D5CDD505-2E9C-101B-9397-08002B2CF9AE}" pid="4" name="_dlc_DocIdItemGuid">
    <vt:lpwstr>c79ac778-509e-4e6d-865f-bd88a34a710d</vt:lpwstr>
  </property>
</Properties>
</file>